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rFonts w:ascii="Arial" w:hAnsi="Arial"/>
          <w:color w:val="000000"/>
        </w:rPr>
      </w:pPr>
      <w:bookmarkStart w:id="0" w:name="_GoBack"/>
      <w:bookmarkEnd w:id="0"/>
      <w:r>
        <w:rPr>
          <w:color w:val="000000"/>
        </w:rPr>
        <w:t>Ide katalog til Årsberetning om whistleblower aktivitet</w:t>
      </w:r>
    </w:p>
    <w:p>
      <w:pPr>
        <w:pStyle w:val="Normal"/>
        <w:rPr>
          <w:rFonts w:ascii="Arial" w:hAnsi="Arial"/>
          <w:sz w:val="24"/>
          <w:szCs w:val="24"/>
        </w:rPr>
      </w:pPr>
      <w:r>
        <w:rPr>
          <w:rFonts w:cs="Arial" w:ascii="Arial" w:hAnsi="Arial" w:cstheme="minorHAnsi"/>
          <w:sz w:val="24"/>
          <w:szCs w:val="24"/>
        </w:rPr>
        <w:t xml:space="preserve">En effektiv whistleblower ordning understøtter organisationen i at opdage og løse problemer, før de vokser sig store og måske eskalerer eksternt. En ordning bidrager til en kultur </w:t>
      </w:r>
      <w:r>
        <w:rPr>
          <w:rFonts w:cs="Arial" w:ascii="Arial" w:hAnsi="Arial" w:cstheme="minorHAnsi"/>
          <w:sz w:val="24"/>
          <w:szCs w:val="24"/>
        </w:rPr>
        <w:t>hos medarbejdere og ledelse</w:t>
      </w:r>
      <w:r>
        <w:rPr>
          <w:rFonts w:cs="Arial" w:ascii="Arial" w:hAnsi="Arial" w:cstheme="minorHAnsi"/>
          <w:sz w:val="24"/>
          <w:szCs w:val="24"/>
        </w:rPr>
        <w:t xml:space="preserve"> af gennemsigtighed, åbenhed og ordentlighed.</w:t>
      </w:r>
    </w:p>
    <w:p>
      <w:pPr>
        <w:pStyle w:val="Normal"/>
        <w:rPr>
          <w:rFonts w:ascii="Arial" w:hAnsi="Arial"/>
          <w:sz w:val="24"/>
          <w:szCs w:val="24"/>
        </w:rPr>
      </w:pPr>
      <w:r>
        <w:rPr>
          <w:rFonts w:ascii="Arial" w:hAnsi="Arial"/>
          <w:sz w:val="24"/>
          <w:szCs w:val="24"/>
        </w:rPr>
        <w:t xml:space="preserve">År 2022 var året hvor myndigheder mv., der er omfattet af </w:t>
      </w:r>
      <w:r>
        <w:rPr>
          <w:rFonts w:ascii="Arial" w:hAnsi="Arial"/>
          <w:i/>
          <w:sz w:val="24"/>
          <w:szCs w:val="24"/>
        </w:rPr>
        <w:t>Lov om Offentlighed i Forvaltningen,</w:t>
      </w:r>
      <w:r>
        <w:rPr>
          <w:rFonts w:ascii="Arial" w:hAnsi="Arial"/>
          <w:sz w:val="24"/>
          <w:szCs w:val="24"/>
        </w:rPr>
        <w:t xml:space="preserve"> som følge af § 27 for første gang skulle offentliggøre årets whistleblower aktivitet.</w:t>
      </w:r>
    </w:p>
    <w:p>
      <w:pPr>
        <w:pStyle w:val="Normal"/>
        <w:rPr>
          <w:rFonts w:ascii="Arial" w:hAnsi="Arial"/>
          <w:sz w:val="24"/>
          <w:szCs w:val="24"/>
        </w:rPr>
      </w:pPr>
      <w:r>
        <w:rPr>
          <w:rFonts w:cs="Arial" w:ascii="Arial" w:hAnsi="Arial" w:cstheme="minorHAnsi"/>
          <w:sz w:val="24"/>
          <w:szCs w:val="24"/>
        </w:rPr>
        <w:t>Beretningen er en værdifuld kommunikation til medarbejdere, ledelse og partnere om at disse værdier er centrale for organisationen, og er i øvrigt en god lejlighed til at evaluere og eventuelt forbedre.</w:t>
      </w:r>
    </w:p>
    <w:p>
      <w:pPr>
        <w:pStyle w:val="BodyText"/>
        <w:rPr>
          <w:rFonts w:ascii="Arial" w:hAnsi="Arial"/>
          <w:sz w:val="24"/>
          <w:szCs w:val="24"/>
        </w:rPr>
      </w:pPr>
      <w:r>
        <w:rPr>
          <w:rFonts w:cs="Arial" w:ascii="Arial" w:hAnsi="Arial" w:cstheme="minorHAnsi"/>
          <w:sz w:val="24"/>
          <w:szCs w:val="24"/>
        </w:rPr>
        <w:t>Fordi loven endnu er relativt ny, er der ikke en standard eller præcedens for, hvordan whistleblower aktiviteten skal beskrives.</w:t>
      </w:r>
    </w:p>
    <w:p>
      <w:pPr>
        <w:pStyle w:val="BodyText"/>
        <w:rPr>
          <w:rFonts w:ascii="Arial" w:hAnsi="Arial"/>
          <w:sz w:val="24"/>
          <w:szCs w:val="24"/>
        </w:rPr>
      </w:pPr>
      <w:r>
        <w:rPr>
          <w:rFonts w:ascii="Arial" w:hAnsi="Arial"/>
          <w:sz w:val="24"/>
          <w:szCs w:val="24"/>
        </w:rPr>
        <w:t xml:space="preserve">For at lette arbejdsbyrden, har Transparency Danmark derfor udsendt en vejledende </w:t>
      </w:r>
      <w:r>
        <w:rPr>
          <w:rFonts w:ascii="Arial" w:hAnsi="Arial"/>
          <w:b/>
          <w:bCs/>
          <w:i/>
          <w:iCs/>
          <w:sz w:val="24"/>
          <w:szCs w:val="24"/>
        </w:rPr>
        <w:t>Skabelon</w:t>
      </w:r>
      <w:r>
        <w:rPr>
          <w:rFonts w:ascii="Arial" w:hAnsi="Arial"/>
          <w:sz w:val="24"/>
          <w:szCs w:val="24"/>
        </w:rPr>
        <w:t>, som frit kan benyttes. Den kan downloades fra vores hjemmeside.</w:t>
      </w:r>
    </w:p>
    <w:p>
      <w:pPr>
        <w:pStyle w:val="Normal"/>
        <w:rPr>
          <w:rFonts w:ascii="Arial" w:hAnsi="Arial"/>
          <w:sz w:val="24"/>
          <w:szCs w:val="24"/>
        </w:rPr>
      </w:pPr>
      <w:r>
        <w:rPr>
          <w:rFonts w:ascii="Arial" w:hAnsi="Arial"/>
          <w:sz w:val="24"/>
          <w:szCs w:val="24"/>
        </w:rPr>
        <w:t>Her er et ide katalog</w:t>
      </w:r>
      <w:r>
        <w:rPr>
          <w:rFonts w:ascii="Arial" w:hAnsi="Arial"/>
          <w:sz w:val="24"/>
          <w:szCs w:val="24"/>
        </w:rPr>
        <w:t xml:space="preserve"> med yderligere relevante emner, </w:t>
      </w:r>
      <w:r>
        <w:rPr>
          <w:rFonts w:ascii="Arial" w:hAnsi="Arial"/>
          <w:sz w:val="24"/>
          <w:szCs w:val="24"/>
        </w:rPr>
        <w:t>som kan supplere Årsberetningen</w:t>
      </w:r>
      <w:r>
        <w:rPr>
          <w:rFonts w:ascii="Arial" w:hAnsi="Arial"/>
          <w:sz w:val="24"/>
          <w:szCs w:val="24"/>
        </w:rPr>
        <w:t>.</w:t>
      </w:r>
    </w:p>
    <w:p>
      <w:pPr>
        <w:pStyle w:val="Normal"/>
        <w:rPr>
          <w:rFonts w:ascii="Arial" w:hAnsi="Arial"/>
          <w:sz w:val="24"/>
          <w:szCs w:val="24"/>
        </w:rPr>
      </w:pPr>
      <w:r>
        <w:rPr>
          <w:rFonts w:ascii="Arial" w:hAnsi="Arial"/>
          <w:sz w:val="24"/>
          <w:szCs w:val="24"/>
        </w:rPr>
        <w:t>Transparency Danmark indsamler årligt februar-marts-april de på det tidspunkt offentliggjorte beretninger for at finde gennemgående temaer, gode og mindre gode erfaringer samt planer for fremtiden.</w:t>
      </w:r>
    </w:p>
    <w:p>
      <w:pPr>
        <w:pStyle w:val="Normal"/>
        <w:rPr>
          <w:rFonts w:ascii="Arial" w:hAnsi="Arial"/>
          <w:sz w:val="24"/>
          <w:szCs w:val="24"/>
        </w:rPr>
      </w:pPr>
      <w:r>
        <w:rPr>
          <w:rFonts w:ascii="Arial" w:hAnsi="Arial"/>
          <w:sz w:val="24"/>
          <w:szCs w:val="24"/>
        </w:rPr>
        <w:t>Derfor håber vi også at skabelonen og ide kataloget kan bidrage til en tværgående erfaringsbank til gavn for de deltagende myndigheder og i øvrigt alle med en whistleblower ordning. En erfaringsbank kan bruges til at sammenligne og inspirere på tværs af organisationer og virksomheder.</w:t>
      </w:r>
    </w:p>
    <w:p>
      <w:pPr>
        <w:pStyle w:val="Normal"/>
        <w:rPr/>
      </w:pPr>
      <w:r>
        <w:rPr>
          <w:rFonts w:ascii="Arial" w:hAnsi="Arial"/>
          <w:sz w:val="24"/>
          <w:szCs w:val="24"/>
        </w:rPr>
        <w:t>Udgiver</w:t>
        <w:tab/>
      </w:r>
      <w:hyperlink r:id="rId2">
        <w:r>
          <w:rPr>
            <w:rStyle w:val="Hyperlink"/>
            <w:rFonts w:ascii="Arial" w:hAnsi="Arial"/>
            <w:sz w:val="24"/>
            <w:szCs w:val="24"/>
          </w:rPr>
          <w:t>Transparency International, Danmark</w:t>
        </w:r>
      </w:hyperlink>
    </w:p>
    <w:p>
      <w:pPr>
        <w:pStyle w:val="Normal"/>
        <w:ind w:hanging="1304" w:left="1304"/>
        <w:rPr>
          <w:rFonts w:ascii="Arial" w:hAnsi="Arial"/>
          <w:sz w:val="24"/>
          <w:szCs w:val="24"/>
        </w:rPr>
      </w:pPr>
      <w:r>
        <w:rPr>
          <w:rFonts w:ascii="Arial" w:hAnsi="Arial"/>
          <w:sz w:val="24"/>
          <w:szCs w:val="24"/>
        </w:rPr>
      </w:r>
    </w:p>
    <w:p>
      <w:pPr>
        <w:pStyle w:val="Normal"/>
        <w:rPr>
          <w:rFonts w:ascii="Arial" w:hAnsi="Arial" w:eastAsia="DejaVu Sans" w:cs="Times New Roman" w:eastAsiaTheme="majorEastAsia"/>
          <w:b/>
          <w:bCs/>
          <w:color w:themeColor="accent1" w:themeShade="bf" w:val="2E74B5"/>
          <w:sz w:val="24"/>
          <w:szCs w:val="24"/>
        </w:rPr>
      </w:pPr>
      <w:r>
        <w:rPr>
          <w:rFonts w:eastAsia="DejaVu Sans" w:cs="Times New Roman" w:eastAsiaTheme="majorEastAsia" w:ascii="Arial" w:hAnsi="Arial"/>
          <w:b/>
          <w:bCs/>
          <w:color w:themeColor="accent1" w:themeShade="bf" w:val="2E74B5"/>
          <w:sz w:val="24"/>
          <w:szCs w:val="24"/>
        </w:rPr>
      </w:r>
      <w:r>
        <w:br w:type="page"/>
      </w:r>
    </w:p>
    <w:p>
      <w:pPr>
        <w:pStyle w:val="Heading1"/>
        <w:spacing w:before="0" w:after="0"/>
        <w:rPr>
          <w:rFonts w:ascii="Arial" w:hAnsi="Arial"/>
          <w:color w:val="000000"/>
          <w:sz w:val="32"/>
          <w:szCs w:val="32"/>
        </w:rPr>
      </w:pPr>
      <w:r>
        <w:rPr>
          <w:rFonts w:cs="Times New Roman"/>
          <w:b/>
          <w:bCs/>
          <w:color w:val="000000"/>
          <w:sz w:val="32"/>
          <w:szCs w:val="32"/>
        </w:rPr>
        <w:t>Lovpligtig oplysning om whistleblower virksomhed</w:t>
      </w:r>
    </w:p>
    <w:p>
      <w:pPr>
        <w:pStyle w:val="Normal"/>
        <w:rPr>
          <w:rFonts w:ascii="Arial" w:hAnsi="Arial"/>
          <w:sz w:val="24"/>
          <w:szCs w:val="24"/>
        </w:rPr>
      </w:pPr>
      <w:r>
        <w:rPr>
          <w:rFonts w:ascii="Arial" w:hAnsi="Arial"/>
          <w:i/>
          <w:sz w:val="24"/>
          <w:szCs w:val="24"/>
        </w:rPr>
        <w:t>Lov om beskyttelse af Whistleblowere § 27</w:t>
      </w:r>
      <w:r>
        <w:rPr>
          <w:rFonts w:ascii="Arial" w:hAnsi="Arial"/>
          <w:sz w:val="24"/>
          <w:szCs w:val="24"/>
        </w:rPr>
        <w:t xml:space="preserve"> har til formål at </w:t>
      </w:r>
      <w:r>
        <w:rPr>
          <w:rFonts w:cs="Times New Roman" w:ascii="Arial" w:hAnsi="Arial"/>
          <w:bCs/>
          <w:sz w:val="24"/>
          <w:szCs w:val="24"/>
        </w:rPr>
        <w:t>”sikre offentligheden adgang til oplysninger om den generelle aktivitet i whistleblowerordningerne i det seneste år.”</w:t>
      </w:r>
      <w:r>
        <w:rPr>
          <w:rFonts w:ascii="Arial" w:hAnsi="Arial"/>
          <w:sz w:val="24"/>
          <w:szCs w:val="24"/>
        </w:rPr>
        <w:t xml:space="preserve"> og lyder</w:t>
      </w:r>
    </w:p>
    <w:p>
      <w:pPr>
        <w:pStyle w:val="Normal"/>
        <w:ind w:left="567"/>
        <w:rPr>
          <w:rFonts w:ascii="Arial" w:hAnsi="Arial"/>
          <w:sz w:val="24"/>
          <w:szCs w:val="24"/>
        </w:rPr>
      </w:pPr>
      <w:r>
        <w:rPr>
          <w:rFonts w:ascii="Arial" w:hAnsi="Arial"/>
          <w:sz w:val="24"/>
          <w:szCs w:val="24"/>
        </w:rPr>
        <w:t>”</w:t>
      </w:r>
      <w:r>
        <w:rPr>
          <w:rFonts w:eastAsia="Times New Roman" w:cs="Times New Roman" w:ascii="Arial" w:hAnsi="Arial"/>
          <w:sz w:val="24"/>
          <w:szCs w:val="24"/>
          <w:lang w:eastAsia="da-DK"/>
        </w:rPr>
        <w:t>Myndigheder m.v. omfattet af reglerne om aktindsigt i lov om offentlighed i forvaltningen offentliggør mindst én gang årligt oplysninger om deres virksomhed efter denne lov.</w:t>
      </w:r>
      <w:r>
        <w:rPr>
          <w:rFonts w:ascii="Arial" w:hAnsi="Arial"/>
          <w:sz w:val="24"/>
          <w:szCs w:val="24"/>
        </w:rPr>
        <w:t>”</w:t>
      </w:r>
    </w:p>
    <w:p>
      <w:pPr>
        <w:pStyle w:val="Normal"/>
        <w:rPr>
          <w:rFonts w:ascii="Arial" w:hAnsi="Arial"/>
          <w:sz w:val="24"/>
          <w:szCs w:val="24"/>
        </w:rPr>
      </w:pPr>
      <w:r>
        <w:rPr>
          <w:rFonts w:cs="Times New Roman" w:ascii="Arial" w:hAnsi="Arial"/>
          <w:bCs/>
          <w:sz w:val="24"/>
          <w:szCs w:val="24"/>
        </w:rPr>
        <w:t xml:space="preserve">Der er stor forskel på de organisationer, der er omfattet af § 27, og whistleblower aktiviteten varierer sandsynligvis fra ingen eller få til måske over hundrede. </w:t>
      </w:r>
      <w:r>
        <w:rPr>
          <w:rFonts w:cs="Times New Roman" w:ascii="Arial" w:hAnsi="Arial"/>
          <w:bCs/>
          <w:sz w:val="24"/>
          <w:szCs w:val="24"/>
        </w:rPr>
        <w:t>Vi har derfor udgivet</w:t>
      </w:r>
      <w:r>
        <w:rPr>
          <w:rFonts w:cs="Times New Roman" w:ascii="Arial" w:hAnsi="Arial"/>
          <w:bCs/>
          <w:sz w:val="24"/>
          <w:szCs w:val="24"/>
        </w:rPr>
        <w:t xml:space="preserve"> en </w:t>
      </w:r>
      <w:r>
        <w:rPr>
          <w:rFonts w:cs="Times New Roman" w:ascii="Arial" w:hAnsi="Arial"/>
          <w:b/>
          <w:bCs/>
          <w:sz w:val="24"/>
          <w:szCs w:val="24"/>
        </w:rPr>
        <w:t>skabelon</w:t>
      </w:r>
      <w:r>
        <w:rPr>
          <w:rFonts w:cs="Times New Roman" w:ascii="Arial" w:hAnsi="Arial"/>
          <w:bCs/>
          <w:sz w:val="24"/>
          <w:szCs w:val="24"/>
        </w:rPr>
        <w:t xml:space="preserve"> til en </w:t>
      </w:r>
      <w:r>
        <w:rPr>
          <w:rFonts w:cs="Times New Roman" w:ascii="Arial" w:hAnsi="Arial"/>
          <w:bCs/>
          <w:sz w:val="24"/>
          <w:szCs w:val="24"/>
        </w:rPr>
        <w:t>Årsberetning</w:t>
      </w:r>
      <w:r>
        <w:rPr>
          <w:rFonts w:cs="Times New Roman" w:ascii="Arial" w:hAnsi="Arial"/>
          <w:bCs/>
          <w:sz w:val="24"/>
          <w:szCs w:val="24"/>
        </w:rPr>
        <w:t xml:space="preserve">, der opfylder loven. Den suppleres med dette </w:t>
      </w:r>
      <w:r>
        <w:rPr>
          <w:rFonts w:cs="Times New Roman" w:ascii="Arial" w:hAnsi="Arial"/>
          <w:b/>
          <w:bCs/>
          <w:sz w:val="24"/>
          <w:szCs w:val="24"/>
        </w:rPr>
        <w:t>ide katalog</w:t>
      </w:r>
      <w:r>
        <w:rPr>
          <w:rFonts w:cs="Times New Roman" w:ascii="Arial" w:hAnsi="Arial"/>
          <w:bCs/>
          <w:sz w:val="24"/>
          <w:szCs w:val="24"/>
        </w:rPr>
        <w:t xml:space="preserve"> over </w:t>
      </w:r>
      <w:r>
        <w:rPr>
          <w:rFonts w:cs="Times New Roman" w:ascii="Arial" w:hAnsi="Arial"/>
          <w:bCs/>
          <w:sz w:val="24"/>
          <w:szCs w:val="24"/>
        </w:rPr>
        <w:t>y</w:t>
      </w:r>
      <w:r>
        <w:rPr>
          <w:rFonts w:cs="Times New Roman" w:ascii="Arial" w:hAnsi="Arial"/>
          <w:bCs/>
          <w:sz w:val="24"/>
          <w:szCs w:val="24"/>
        </w:rPr>
        <w:t>derligere forhold, der kan medtages i Årsberetningen.</w:t>
      </w:r>
    </w:p>
    <w:p>
      <w:pPr>
        <w:pStyle w:val="Heading1"/>
        <w:spacing w:before="0" w:after="0"/>
        <w:rPr>
          <w:rFonts w:ascii="Arial" w:hAnsi="Arial"/>
          <w:color w:val="000000"/>
          <w:sz w:val="32"/>
          <w:szCs w:val="32"/>
        </w:rPr>
      </w:pPr>
      <w:r>
        <w:rPr>
          <w:rFonts w:cs="Times New Roman"/>
          <w:b/>
          <w:bCs/>
          <w:color w:val="000000"/>
          <w:sz w:val="32"/>
          <w:szCs w:val="32"/>
        </w:rPr>
        <w:t>Udvidede emner til beretning</w:t>
      </w:r>
    </w:p>
    <w:p>
      <w:pPr>
        <w:pStyle w:val="Normal"/>
        <w:rPr>
          <w:rFonts w:ascii="Arial" w:hAnsi="Arial"/>
          <w:sz w:val="24"/>
          <w:szCs w:val="24"/>
        </w:rPr>
      </w:pPr>
      <w:r>
        <w:rPr>
          <w:rFonts w:ascii="Arial" w:hAnsi="Arial"/>
          <w:sz w:val="24"/>
          <w:szCs w:val="24"/>
        </w:rPr>
        <w:t>Organisationen skal iagttage de særlige tavshedspligtsbestemmelser i lovens § 25. Heri ligger bl.a., at beskrivelsen af emnerne skal udformes på en sådan måde, at det ikke er muligt at identificere whistlebloweren, ligesom beskrivelsen ikke bør indeholde nærmere oplysninger fra de enkelte indberetninger.</w:t>
      </w:r>
    </w:p>
    <w:p>
      <w:pPr>
        <w:pStyle w:val="Normal"/>
        <w:rPr/>
      </w:pPr>
      <w:r>
        <w:rPr>
          <w:rFonts w:ascii="Arial" w:hAnsi="Arial"/>
          <w:sz w:val="24"/>
          <w:szCs w:val="24"/>
        </w:rPr>
        <w:t>Det er vores håb, at beretningerne vil indeholde de emner, som er relevante for organisationen og de tiltænkte brugere. Disse emner er desuden vores ønske til beretningerne, for at kunne samle en relevant og brugbar erfaringsbank.</w:t>
      </w:r>
    </w:p>
    <w:p>
      <w:pPr>
        <w:pStyle w:val="Normal"/>
        <w:rPr>
          <w:rFonts w:ascii="Arial" w:hAnsi="Arial"/>
          <w:sz w:val="24"/>
          <w:szCs w:val="24"/>
        </w:rPr>
      </w:pPr>
      <w:r>
        <w:rPr>
          <w:rFonts w:ascii="Arial" w:hAnsi="Arial"/>
          <w:sz w:val="24"/>
          <w:szCs w:val="24"/>
        </w:rPr>
        <w:t>Der er fem emneområder:</w:t>
      </w:r>
    </w:p>
    <w:p>
      <w:pPr>
        <w:pStyle w:val="ListParagraph"/>
        <w:numPr>
          <w:ilvl w:val="0"/>
          <w:numId w:val="1"/>
        </w:numPr>
        <w:rPr>
          <w:rFonts w:ascii="Arial" w:hAnsi="Arial"/>
          <w:sz w:val="24"/>
          <w:szCs w:val="24"/>
        </w:rPr>
      </w:pPr>
      <w:r>
        <w:rPr>
          <w:rFonts w:ascii="Arial" w:hAnsi="Arial"/>
          <w:sz w:val="24"/>
          <w:szCs w:val="24"/>
        </w:rPr>
        <w:t>Om organisationen</w:t>
      </w:r>
    </w:p>
    <w:p>
      <w:pPr>
        <w:pStyle w:val="ListParagraph"/>
        <w:numPr>
          <w:ilvl w:val="0"/>
          <w:numId w:val="1"/>
        </w:numPr>
        <w:rPr>
          <w:rFonts w:ascii="Arial" w:hAnsi="Arial"/>
          <w:sz w:val="24"/>
          <w:szCs w:val="24"/>
        </w:rPr>
      </w:pPr>
      <w:r>
        <w:rPr>
          <w:rFonts w:ascii="Arial" w:hAnsi="Arial"/>
          <w:sz w:val="24"/>
          <w:szCs w:val="24"/>
        </w:rPr>
        <w:t>Om whistleblower ordningen</w:t>
      </w:r>
    </w:p>
    <w:p>
      <w:pPr>
        <w:pStyle w:val="ListParagraph"/>
        <w:numPr>
          <w:ilvl w:val="0"/>
          <w:numId w:val="1"/>
        </w:numPr>
        <w:rPr>
          <w:rFonts w:ascii="Arial" w:hAnsi="Arial"/>
          <w:sz w:val="24"/>
          <w:szCs w:val="24"/>
        </w:rPr>
      </w:pPr>
      <w:r>
        <w:rPr>
          <w:rFonts w:ascii="Arial" w:hAnsi="Arial"/>
          <w:sz w:val="24"/>
          <w:szCs w:val="24"/>
        </w:rPr>
        <w:t>Om sagsbehandling</w:t>
      </w:r>
    </w:p>
    <w:p>
      <w:pPr>
        <w:pStyle w:val="ListParagraph"/>
        <w:numPr>
          <w:ilvl w:val="0"/>
          <w:numId w:val="1"/>
        </w:numPr>
        <w:rPr>
          <w:rFonts w:ascii="Arial" w:hAnsi="Arial"/>
          <w:sz w:val="24"/>
          <w:szCs w:val="24"/>
        </w:rPr>
      </w:pPr>
      <w:r>
        <w:rPr>
          <w:rFonts w:ascii="Arial" w:hAnsi="Arial"/>
          <w:sz w:val="24"/>
          <w:szCs w:val="24"/>
        </w:rPr>
        <w:t>Om året for beretningen</w:t>
      </w:r>
    </w:p>
    <w:p>
      <w:pPr>
        <w:pStyle w:val="ListParagraph"/>
        <w:numPr>
          <w:ilvl w:val="0"/>
          <w:numId w:val="1"/>
        </w:numPr>
        <w:rPr>
          <w:rFonts w:ascii="Arial" w:hAnsi="Arial"/>
          <w:sz w:val="24"/>
          <w:szCs w:val="24"/>
        </w:rPr>
      </w:pPr>
      <w:r>
        <w:rPr>
          <w:rFonts w:ascii="Arial" w:hAnsi="Arial"/>
          <w:sz w:val="24"/>
          <w:szCs w:val="24"/>
        </w:rPr>
        <w:t>Om evaluering og udvikling af ordningen</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b/>
          <w:bCs/>
          <w:sz w:val="24"/>
          <w:szCs w:val="24"/>
        </w:rPr>
        <w:t>Vejledning.</w:t>
      </w:r>
      <w:r>
        <w:rPr>
          <w:rFonts w:ascii="Arial" w:hAnsi="Arial"/>
          <w:sz w:val="24"/>
          <w:szCs w:val="24"/>
        </w:rPr>
        <w:t xml:space="preserve"> </w:t>
        <w:br/>
        <w:t xml:space="preserve">Det står selvfølgelig organisationen, der udgiver beretningen, frit for at anvende dette værktøj, eller at udgive informationen i en anden form. </w:t>
      </w:r>
    </w:p>
    <w:p>
      <w:pPr>
        <w:pStyle w:val="Normal"/>
        <w:pBdr>
          <w:top w:val="single" w:sz="4" w:space="1" w:color="000000"/>
          <w:left w:val="single" w:sz="4" w:space="4" w:color="000000"/>
          <w:right w:val="single" w:sz="4" w:space="4" w:color="000000"/>
        </w:pBdr>
        <w:ind w:hanging="1843" w:left="2694"/>
        <w:rPr>
          <w:rFonts w:ascii="Arial" w:hAnsi="Arial"/>
          <w:sz w:val="24"/>
          <w:szCs w:val="24"/>
        </w:rPr>
      </w:pPr>
      <w:r>
        <w:rPr>
          <w:rFonts w:ascii="Arial" w:hAnsi="Arial"/>
          <w:sz w:val="24"/>
          <w:szCs w:val="24"/>
        </w:rPr>
        <w:t>[ JA ] / [ NEJ ]</w:t>
        <w:tab/>
        <w:t>Marker enten JA eller NEJ.</w:t>
      </w:r>
    </w:p>
    <w:p>
      <w:pPr>
        <w:pStyle w:val="Normal"/>
        <w:pBdr>
          <w:top w:val="single" w:sz="4" w:space="1" w:color="000000"/>
          <w:left w:val="single" w:sz="4" w:space="4" w:color="000000"/>
          <w:right w:val="single" w:sz="4" w:space="4" w:color="000000"/>
        </w:pBdr>
        <w:ind w:hanging="1843" w:left="2694"/>
        <w:rPr>
          <w:rFonts w:ascii="Arial" w:hAnsi="Arial"/>
          <w:sz w:val="24"/>
          <w:szCs w:val="24"/>
        </w:rPr>
      </w:pPr>
      <w:r>
        <w:rPr>
          <w:rFonts w:ascii="Arial" w:hAnsi="Arial"/>
          <w:sz w:val="24"/>
          <w:szCs w:val="24"/>
        </w:rPr>
        <w:t>[ antal ]</w:t>
        <w:tab/>
        <w:t>Anfør det pågældende tal.</w:t>
      </w:r>
    </w:p>
    <w:p>
      <w:pPr>
        <w:pStyle w:val="Normal"/>
        <w:pBdr>
          <w:top w:val="single" w:sz="4" w:space="1" w:color="000000"/>
          <w:left w:val="single" w:sz="4" w:space="4" w:color="000000"/>
          <w:bottom w:val="single" w:sz="4" w:space="1" w:color="000000"/>
          <w:right w:val="single" w:sz="4" w:space="4" w:color="000000"/>
        </w:pBdr>
        <w:ind w:hanging="1843" w:left="2694"/>
        <w:rPr>
          <w:rFonts w:ascii="Arial" w:hAnsi="Arial"/>
          <w:sz w:val="24"/>
          <w:szCs w:val="24"/>
        </w:rPr>
      </w:pPr>
      <w:r>
        <w:rPr>
          <w:rFonts w:ascii="Arial" w:hAnsi="Arial"/>
          <w:sz w:val="24"/>
          <w:szCs w:val="24"/>
        </w:rPr>
        <w:t>[ beskriv ]</w:t>
        <w:tab/>
        <w:t>En kortere eller længere verbal beskrivelse.</w:t>
        <w:br/>
        <w:t xml:space="preserve">Den skal selvfølgelig ikke indeholde information, der kan identificere enkelte personer. </w:t>
      </w:r>
    </w:p>
    <w:p>
      <w:pPr>
        <w:pStyle w:val="Normal"/>
        <w:rPr>
          <w:rFonts w:ascii="Arial" w:hAnsi="Arial"/>
          <w:sz w:val="24"/>
          <w:szCs w:val="24"/>
        </w:rPr>
      </w:pPr>
      <w:r>
        <w:rPr>
          <w:rFonts w:ascii="Arial" w:hAnsi="Arial"/>
          <w:sz w:val="24"/>
          <w:szCs w:val="24"/>
        </w:rPr>
      </w:r>
    </w:p>
    <w:p>
      <w:pPr>
        <w:pStyle w:val="Heading1"/>
        <w:rPr>
          <w:rFonts w:ascii="Arial" w:hAnsi="Arial"/>
          <w:sz w:val="24"/>
          <w:szCs w:val="24"/>
        </w:rPr>
      </w:pPr>
      <w:r>
        <w:rPr>
          <w:rFonts w:cs="Times New Roman"/>
          <w:b/>
          <w:bCs/>
          <w:sz w:val="24"/>
          <w:szCs w:val="24"/>
        </w:rPr>
        <w:t>Om organisationen</w:t>
        <w:tab/>
        <w:tab/>
        <w:tab/>
      </w:r>
    </w:p>
    <w:p>
      <w:pPr>
        <w:pStyle w:val="Normal"/>
        <w:rPr>
          <w:rFonts w:ascii="Arial" w:hAnsi="Arial"/>
          <w:sz w:val="24"/>
          <w:szCs w:val="24"/>
        </w:rPr>
      </w:pPr>
      <w:r>
        <w:rPr/>
      </w:r>
    </w:p>
    <w:p>
      <w:pPr>
        <w:pStyle w:val="Normal"/>
        <w:rPr>
          <w:rFonts w:ascii="Arial" w:hAnsi="Arial"/>
          <w:sz w:val="24"/>
          <w:szCs w:val="24"/>
        </w:rPr>
      </w:pPr>
      <w:r>
        <w:rPr>
          <w:rFonts w:cs="Times New Roman" w:ascii="Arial" w:hAnsi="Arial"/>
          <w:b/>
          <w:bCs/>
          <w:sz w:val="24"/>
          <w:szCs w:val="24"/>
        </w:rPr>
        <w:t>Beskriv hvilken CVR virksomhedsform som organisationen er registreret under.</w:t>
      </w:r>
      <w:r>
        <w:rPr>
          <w:rFonts w:cs="Times New Roman" w:ascii="Arial" w:hAnsi="Arial"/>
          <w:b/>
          <w:bCs/>
          <w:i/>
          <w:iCs/>
          <w:sz w:val="24"/>
          <w:szCs w:val="24"/>
        </w:rPr>
        <w:br/>
      </w:r>
      <w:r>
        <w:rPr>
          <w:rFonts w:cs="Times New Roman" w:ascii="Arial" w:hAnsi="Arial"/>
          <w:i/>
          <w:iCs/>
          <w:sz w:val="24"/>
          <w:szCs w:val="24"/>
        </w:rPr>
        <w:t>Ved brug af erfaringsbanken bliver det vigtigt at kunne udvælge sammenlignelige organisationer.</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Statslig administrativ enhed</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Region</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Primærkommune</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Amtskommune</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Selvstændig offentlig virksomhed</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Andet</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exact"/>
        </w:trPr>
        <w:tc>
          <w:tcPr>
            <w:tcW w:w="4179" w:type="dxa"/>
            <w:tcBorders/>
            <w:shd w:color="auto" w:fill="auto" w:val="clear"/>
          </w:tcPr>
          <w:p>
            <w:pPr>
              <w:pStyle w:val="Normal"/>
              <w:spacing w:lineRule="auto" w:line="240" w:before="0" w:after="0"/>
              <w:rPr>
                <w:rFonts w:ascii="Arial" w:hAnsi="Arial" w:eastAsia="Times New Roman" w:cs="Times New Roman"/>
                <w:color w:val="000000"/>
                <w:sz w:val="24"/>
                <w:szCs w:val="24"/>
                <w:lang w:eastAsia="da-DK"/>
              </w:rPr>
            </w:pPr>
            <w:r>
              <w:rPr>
                <w:rFonts w:eastAsia="Times New Roman" w:cs="Times New Roman" w:ascii="Arial" w:hAnsi="Arial"/>
                <w:color w:val="000000"/>
                <w:sz w:val="24"/>
                <w:szCs w:val="24"/>
                <w:lang w:eastAsia="da-DK"/>
              </w:rPr>
            </w:r>
          </w:p>
        </w:tc>
        <w:tc>
          <w:tcPr>
            <w:tcW w:w="4100" w:type="dxa"/>
            <w:tcBorders/>
            <w:shd w:color="auto" w:fill="auto" w:val="clear"/>
          </w:tcPr>
          <w:p>
            <w:pPr>
              <w:pStyle w:val="Normal"/>
              <w:spacing w:lineRule="auto" w:line="240" w:before="0" w:after="0"/>
              <w:rPr>
                <w:rFonts w:ascii="Arial" w:hAnsi="Arial" w:eastAsia="Times New Roman" w:cs="Times New Roman"/>
                <w:sz w:val="24"/>
                <w:szCs w:val="24"/>
                <w:lang w:eastAsia="da-DK"/>
              </w:rPr>
            </w:pPr>
            <w:r>
              <w:rPr>
                <w:rFonts w:eastAsia="Times New Roman" w:cs="Times New Roman" w:ascii="Arial" w:hAnsi="Arial"/>
                <w:sz w:val="24"/>
                <w:szCs w:val="24"/>
                <w:lang w:eastAsia="da-DK"/>
              </w:rPr>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Antal ansatte</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antal ]</w:t>
            </w:r>
          </w:p>
        </w:tc>
      </w:tr>
    </w:tbl>
    <w:p>
      <w:pPr>
        <w:pStyle w:val="Normal"/>
        <w:rPr>
          <w:rFonts w:ascii="Arial" w:hAnsi="Arial" w:cs="Times New Roman"/>
          <w:sz w:val="24"/>
          <w:szCs w:val="24"/>
        </w:rPr>
      </w:pPr>
      <w:r>
        <w:rPr>
          <w:rFonts w:cs="Times New Roman" w:ascii="Arial" w:hAnsi="Arial"/>
          <w:sz w:val="24"/>
          <w:szCs w:val="24"/>
        </w:rPr>
      </w:r>
    </w:p>
    <w:p>
      <w:pPr>
        <w:pStyle w:val="Heading1"/>
        <w:rPr>
          <w:rFonts w:ascii="Arial" w:hAnsi="Arial"/>
          <w:sz w:val="24"/>
          <w:szCs w:val="24"/>
        </w:rPr>
      </w:pPr>
      <w:r>
        <w:rPr>
          <w:rFonts w:cs="Times New Roman"/>
          <w:b/>
          <w:bCs/>
          <w:sz w:val="24"/>
          <w:szCs w:val="24"/>
        </w:rPr>
        <w:t>Om Whistleblower ordning</w:t>
      </w:r>
    </w:p>
    <w:p>
      <w:pPr>
        <w:pStyle w:val="Normal"/>
        <w:rPr>
          <w:rFonts w:ascii="Arial" w:hAnsi="Arial"/>
          <w:sz w:val="24"/>
          <w:szCs w:val="24"/>
        </w:rPr>
      </w:pPr>
      <w:r>
        <w:rPr/>
      </w:r>
    </w:p>
    <w:p>
      <w:pPr>
        <w:pStyle w:val="Normal"/>
        <w:rPr>
          <w:rFonts w:ascii="Arial" w:hAnsi="Arial"/>
          <w:sz w:val="24"/>
          <w:szCs w:val="24"/>
        </w:rPr>
      </w:pPr>
      <w:r>
        <w:rPr>
          <w:rFonts w:cs="Times New Roman" w:ascii="Arial" w:hAnsi="Arial"/>
          <w:b/>
          <w:bCs/>
          <w:sz w:val="24"/>
          <w:szCs w:val="24"/>
        </w:rPr>
        <w:t>Beskriv hvordan ordningen er forankret i organisationen.</w:t>
        <w:br/>
      </w:r>
      <w:r>
        <w:rPr>
          <w:rFonts w:cs="Times New Roman" w:ascii="Arial" w:hAnsi="Arial"/>
          <w:i/>
          <w:iCs/>
          <w:sz w:val="24"/>
          <w:szCs w:val="24"/>
        </w:rPr>
        <w:t>Viden om hvordan andre forankrer ordningen, kan være til inspiration og en vigtig baggrund for statistikken.</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vAlign w:val="bottom"/>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Selvstændig afdeling</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vAlign w:val="bottom"/>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Forankret i HR</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vAlign w:val="bottom"/>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Forankret i Juridisk afdeling</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vAlign w:val="bottom"/>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Forankret i Direktionen</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vAlign w:val="bottom"/>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Forankret i Revision</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 [ NEJ ]</w:t>
            </w:r>
          </w:p>
        </w:tc>
      </w:tr>
      <w:tr>
        <w:trPr>
          <w:trHeight w:val="288" w:hRule="atLeast"/>
        </w:trPr>
        <w:tc>
          <w:tcPr>
            <w:tcW w:w="4179" w:type="dxa"/>
            <w:tcBorders/>
            <w:shd w:color="auto" w:fill="auto" w:val="clear"/>
            <w:vAlign w:val="bottom"/>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Andet</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bl>
    <w:p>
      <w:pPr>
        <w:pStyle w:val="Normal"/>
        <w:rPr>
          <w:rFonts w:ascii="Arial" w:hAnsi="Arial" w:cs="Times New Roman"/>
          <w:sz w:val="24"/>
          <w:szCs w:val="24"/>
        </w:rPr>
      </w:pPr>
      <w:r>
        <w:rPr>
          <w:rFonts w:cs="Times New Roman" w:ascii="Arial" w:hAnsi="Arial"/>
          <w:sz w:val="24"/>
          <w:szCs w:val="24"/>
        </w:rPr>
      </w:r>
    </w:p>
    <w:p>
      <w:pPr>
        <w:pStyle w:val="Normal"/>
        <w:rPr/>
      </w:pPr>
      <w:r>
        <w:rPr>
          <w:rFonts w:cs="Times New Roman" w:ascii="Arial" w:hAnsi="Arial"/>
          <w:b/>
          <w:bCs/>
          <w:sz w:val="24"/>
          <w:szCs w:val="24"/>
        </w:rPr>
        <w:t>Beskriv ressourcerne som er afsat</w:t>
      </w:r>
      <w:r>
        <w:rPr>
          <w:rStyle w:val="Annotationreference"/>
          <w:rFonts w:ascii="Arial" w:hAnsi="Arial"/>
          <w:sz w:val="24"/>
          <w:szCs w:val="24"/>
        </w:rPr>
        <w:t xml:space="preserve"> </w:t>
      </w:r>
      <w:r>
        <w:rPr>
          <w:rFonts w:cs="Times New Roman" w:ascii="Arial" w:hAnsi="Arial"/>
          <w:b/>
          <w:bCs/>
          <w:sz w:val="24"/>
          <w:szCs w:val="24"/>
        </w:rPr>
        <w:t>til ordningen.</w:t>
        <w:br/>
      </w:r>
      <w:r>
        <w:rPr>
          <w:rFonts w:cs="Times New Roman" w:ascii="Arial" w:hAnsi="Arial"/>
          <w:i/>
          <w:iCs/>
          <w:sz w:val="24"/>
          <w:szCs w:val="24"/>
        </w:rPr>
        <w:t>Det har betydning for at forstå f.eks. antal af sager, der er behandlet, og tidsforløbet.</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Årsværk (fuldtidsressourcer)</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antal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Budget</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beløbsramme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Andre ressourcer</w:t>
            </w:r>
          </w:p>
        </w:tc>
        <w:tc>
          <w:tcPr>
            <w:tcW w:w="410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sz w:val="24"/>
          <w:szCs w:val="24"/>
        </w:rPr>
      </w:pPr>
      <w:r>
        <w:rPr>
          <w:rFonts w:cs="Times New Roman" w:ascii="Arial" w:hAnsi="Arial"/>
          <w:sz w:val="24"/>
          <w:szCs w:val="24"/>
        </w:rPr>
      </w:r>
    </w:p>
    <w:p>
      <w:pPr>
        <w:pStyle w:val="Normal"/>
        <w:rPr>
          <w:rFonts w:ascii="Arial" w:hAnsi="Arial"/>
          <w:sz w:val="24"/>
          <w:szCs w:val="24"/>
        </w:rPr>
      </w:pPr>
      <w:r>
        <w:rPr>
          <w:rFonts w:cs="Times New Roman" w:ascii="Arial" w:hAnsi="Arial"/>
          <w:b/>
          <w:bCs/>
          <w:sz w:val="24"/>
          <w:szCs w:val="24"/>
        </w:rPr>
        <w:t xml:space="preserve">Beskriv hvilke adgange en whistleblower kan benytte </w:t>
      </w:r>
      <w:r>
        <w:rPr>
          <w:rFonts w:cs="Times New Roman" w:ascii="Arial" w:hAnsi="Arial"/>
          <w:sz w:val="24"/>
          <w:szCs w:val="24"/>
        </w:rPr>
        <w:br/>
      </w:r>
      <w:r>
        <w:rPr>
          <w:rFonts w:cs="Times New Roman" w:ascii="Arial" w:hAnsi="Arial"/>
          <w:i/>
          <w:iCs/>
          <w:sz w:val="24"/>
          <w:szCs w:val="24"/>
        </w:rPr>
        <w:t>Valget kan være afgørende for at forstå den øvrige statistik.</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Manuel intern proces</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Ekstern advokat</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Ekstern service udbyder</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Standard software</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Specielt udviklet software</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Andet</w:t>
            </w:r>
          </w:p>
        </w:tc>
        <w:tc>
          <w:tcPr>
            <w:tcW w:w="410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bl>
    <w:p>
      <w:pPr>
        <w:pStyle w:val="Normal"/>
        <w:rPr>
          <w:rFonts w:ascii="Arial" w:hAnsi="Arial" w:cs="Times New Roman"/>
          <w:sz w:val="24"/>
          <w:szCs w:val="24"/>
        </w:rPr>
      </w:pPr>
      <w:r>
        <w:rPr>
          <w:rFonts w:cs="Times New Roman" w:ascii="Arial" w:hAnsi="Arial"/>
          <w:sz w:val="24"/>
          <w:szCs w:val="24"/>
        </w:rPr>
      </w:r>
    </w:p>
    <w:p>
      <w:pPr>
        <w:pStyle w:val="Normal"/>
        <w:rPr>
          <w:rFonts w:ascii="Arial" w:hAnsi="Arial"/>
          <w:sz w:val="24"/>
          <w:szCs w:val="24"/>
        </w:rPr>
      </w:pPr>
      <w:r>
        <w:rPr>
          <w:rFonts w:cs="Times New Roman" w:ascii="Arial" w:hAnsi="Arial"/>
          <w:b/>
          <w:sz w:val="24"/>
          <w:szCs w:val="24"/>
        </w:rPr>
        <w:t>Beskriv hvilke overvejelser der ligger bag ordningen</w:t>
        <w:br/>
      </w:r>
      <w:r>
        <w:rPr>
          <w:rFonts w:cs="Times New Roman" w:ascii="Arial" w:hAnsi="Arial"/>
          <w:i/>
          <w:iCs/>
          <w:sz w:val="24"/>
          <w:szCs w:val="24"/>
        </w:rPr>
        <w:t xml:space="preserve">En whistleblower ordning er mest effektiv, hvis brugerne har tilstrækkelig viden om formålet med den og har tillid til, hvordan den forvaltes. Organisationens overvejelser kan også være til inspiration for andre. F.eks. fortrolighed, selvstændig og seperat process, uafhængige sagsbehandlere eller omkostninger. </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984"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bCs/>
                <w:color w:val="000000"/>
                <w:sz w:val="24"/>
                <w:szCs w:val="24"/>
                <w:lang w:eastAsia="da-DK"/>
              </w:rPr>
              <w:t>Beskriv her hvilke overvejelser der har været i forbindelse med etablering og organisering af whistleblower-ordningen</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sz w:val="24"/>
          <w:szCs w:val="24"/>
        </w:rPr>
      </w:pPr>
      <w:r>
        <w:rPr>
          <w:rFonts w:cs="Times New Roman" w:ascii="Arial" w:hAnsi="Arial"/>
          <w:sz w:val="24"/>
          <w:szCs w:val="24"/>
        </w:rPr>
      </w:r>
    </w:p>
    <w:p>
      <w:pPr>
        <w:pStyle w:val="Heading1"/>
        <w:rPr>
          <w:rFonts w:ascii="Arial" w:hAnsi="Arial"/>
          <w:sz w:val="24"/>
          <w:szCs w:val="24"/>
        </w:rPr>
      </w:pPr>
      <w:r>
        <w:rPr>
          <w:rFonts w:cs="Times New Roman"/>
          <w:b/>
          <w:bCs/>
          <w:sz w:val="24"/>
          <w:szCs w:val="24"/>
        </w:rPr>
        <w:t>Om sagsbehandling</w:t>
      </w:r>
    </w:p>
    <w:p>
      <w:pPr>
        <w:pStyle w:val="Normal"/>
        <w:rPr>
          <w:rFonts w:ascii="Arial" w:hAnsi="Arial"/>
          <w:sz w:val="24"/>
          <w:szCs w:val="24"/>
        </w:rPr>
      </w:pPr>
      <w:r>
        <w:rPr/>
      </w:r>
    </w:p>
    <w:p>
      <w:pPr>
        <w:pStyle w:val="Normal"/>
        <w:rPr>
          <w:rFonts w:ascii="Arial" w:hAnsi="Arial"/>
          <w:sz w:val="24"/>
          <w:szCs w:val="24"/>
        </w:rPr>
      </w:pPr>
      <w:r>
        <w:rPr>
          <w:rFonts w:cs="Times New Roman" w:ascii="Arial" w:hAnsi="Arial"/>
          <w:b/>
          <w:bCs/>
          <w:sz w:val="24"/>
          <w:szCs w:val="24"/>
        </w:rPr>
        <w:t>Beskriv overordnet hvordan en whistleblower sag behandles.</w:t>
      </w:r>
      <w:r>
        <w:rPr>
          <w:rFonts w:cs="Times New Roman" w:ascii="Arial" w:hAnsi="Arial"/>
          <w:sz w:val="24"/>
          <w:szCs w:val="24"/>
        </w:rPr>
        <w:br/>
      </w:r>
      <w:r>
        <w:rPr>
          <w:rFonts w:cs="Times New Roman" w:ascii="Arial" w:hAnsi="Arial"/>
          <w:i/>
          <w:iCs/>
          <w:sz w:val="24"/>
          <w:szCs w:val="24"/>
        </w:rPr>
        <w:t>Dette kan give inspiration til andre organisationers indretning af arbejdsgangen.</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576" w:hRule="atLeast"/>
        </w:trPr>
        <w:tc>
          <w:tcPr>
            <w:tcW w:w="4179" w:type="dxa"/>
            <w:tcBorders/>
            <w:shd w:color="auto" w:fill="auto" w:val="clear"/>
          </w:tcPr>
          <w:p>
            <w:pPr>
              <w:pStyle w:val="Normal"/>
              <w:spacing w:lineRule="auto" w:line="240" w:before="0" w:after="0"/>
              <w:ind w:left="214"/>
              <w:rPr>
                <w:rFonts w:ascii="Arial" w:hAnsi="Arial"/>
                <w:sz w:val="24"/>
                <w:szCs w:val="24"/>
              </w:rPr>
            </w:pPr>
            <w:r>
              <w:rPr>
                <w:rFonts w:eastAsia="Times New Roman" w:cs="Times New Roman" w:ascii="Arial" w:hAnsi="Arial"/>
                <w:color w:val="000000"/>
                <w:sz w:val="24"/>
                <w:szCs w:val="24"/>
                <w:lang w:eastAsia="da-DK"/>
              </w:rPr>
              <w:t>Proces og beslutningspunkter, hvor sagen evt. lukkes eller undersøges..</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b/>
          <w:bCs/>
          <w:sz w:val="24"/>
          <w:szCs w:val="24"/>
        </w:rPr>
      </w:pPr>
      <w:r>
        <w:rPr>
          <w:rFonts w:cs="Times New Roman" w:ascii="Arial" w:hAnsi="Arial"/>
          <w:b/>
          <w:bCs/>
          <w:sz w:val="24"/>
          <w:szCs w:val="24"/>
        </w:rPr>
      </w:r>
    </w:p>
    <w:p>
      <w:pPr>
        <w:pStyle w:val="Normal"/>
        <w:rPr>
          <w:rFonts w:ascii="Arial" w:hAnsi="Arial"/>
          <w:sz w:val="24"/>
          <w:szCs w:val="24"/>
        </w:rPr>
      </w:pPr>
      <w:r>
        <w:rPr>
          <w:rFonts w:cs="Times New Roman" w:ascii="Arial" w:hAnsi="Arial"/>
          <w:b/>
          <w:bCs/>
          <w:sz w:val="24"/>
          <w:szCs w:val="24"/>
        </w:rPr>
        <w:t>Angiv referencer for yderligere information.</w:t>
      </w:r>
      <w:r>
        <w:rPr>
          <w:rFonts w:cs="Times New Roman" w:ascii="Arial" w:hAnsi="Arial"/>
          <w:sz w:val="24"/>
          <w:szCs w:val="24"/>
        </w:rPr>
        <w:t xml:space="preserve"> </w:t>
        <w:br/>
      </w:r>
      <w:r>
        <w:rPr>
          <w:rFonts w:cs="Times New Roman" w:ascii="Arial" w:hAnsi="Arial"/>
          <w:i/>
          <w:iCs/>
          <w:sz w:val="24"/>
          <w:szCs w:val="24"/>
        </w:rPr>
        <w:t>Dette kan give inspiration til andre organisationers indretning af arbejdsgangen.</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576" w:hRule="atLeast"/>
        </w:trPr>
        <w:tc>
          <w:tcPr>
            <w:tcW w:w="4179" w:type="dxa"/>
            <w:tcBorders/>
            <w:shd w:color="auto" w:fill="auto" w:val="clear"/>
          </w:tcPr>
          <w:p>
            <w:pPr>
              <w:pStyle w:val="Normal"/>
              <w:spacing w:lineRule="auto" w:line="240" w:before="0" w:after="0"/>
              <w:ind w:left="214"/>
              <w:rPr>
                <w:rFonts w:ascii="Arial" w:hAnsi="Arial"/>
                <w:sz w:val="24"/>
                <w:szCs w:val="24"/>
              </w:rPr>
            </w:pPr>
            <w:r>
              <w:rPr>
                <w:rFonts w:eastAsia="Times New Roman" w:cs="Times New Roman" w:ascii="Arial" w:hAnsi="Arial"/>
                <w:color w:val="000000"/>
                <w:sz w:val="24"/>
                <w:szCs w:val="24"/>
                <w:lang w:eastAsia="da-DK"/>
              </w:rPr>
              <w:t>Hjemmeside afsnit, artikler eller vejledninger, der er offentlig tilgængelige og som beskriver ordningen for udenforstående.</w:t>
              <w:br/>
              <w:t>Medtag eventuelt direkte links (URLs).</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b/>
          <w:bCs/>
          <w:sz w:val="24"/>
          <w:szCs w:val="24"/>
        </w:rPr>
      </w:pPr>
      <w:r>
        <w:rPr>
          <w:rFonts w:cs="Times New Roman" w:ascii="Arial" w:hAnsi="Arial"/>
          <w:b/>
          <w:bCs/>
          <w:sz w:val="24"/>
          <w:szCs w:val="24"/>
        </w:rPr>
      </w:r>
    </w:p>
    <w:p>
      <w:pPr>
        <w:pStyle w:val="Heading1"/>
        <w:rPr>
          <w:rFonts w:ascii="Arial" w:hAnsi="Arial"/>
          <w:sz w:val="24"/>
          <w:szCs w:val="24"/>
        </w:rPr>
      </w:pPr>
      <w:r>
        <w:rPr>
          <w:rFonts w:cs="Times New Roman"/>
          <w:b/>
          <w:bCs/>
          <w:sz w:val="24"/>
          <w:szCs w:val="24"/>
        </w:rPr>
        <w:t>Om året for beretningen</w:t>
      </w:r>
    </w:p>
    <w:p>
      <w:pPr>
        <w:pStyle w:val="Normal"/>
        <w:rPr>
          <w:rFonts w:ascii="Arial" w:hAnsi="Arial"/>
          <w:sz w:val="24"/>
          <w:szCs w:val="24"/>
        </w:rPr>
      </w:pPr>
      <w:r>
        <w:rPr/>
      </w:r>
    </w:p>
    <w:p>
      <w:pPr>
        <w:pStyle w:val="Normal"/>
        <w:rPr>
          <w:rFonts w:ascii="Arial" w:hAnsi="Arial"/>
          <w:sz w:val="24"/>
          <w:szCs w:val="24"/>
        </w:rPr>
      </w:pPr>
      <w:r>
        <w:rPr>
          <w:rFonts w:cs="Times New Roman" w:ascii="Arial" w:hAnsi="Arial"/>
          <w:b/>
          <w:bCs/>
          <w:sz w:val="24"/>
          <w:szCs w:val="24"/>
        </w:rPr>
        <w:t>Beskriv de væsentligste udfordringer ved ordningen.</w:t>
      </w:r>
      <w:r>
        <w:rPr>
          <w:rFonts w:cs="Times New Roman" w:ascii="Arial" w:hAnsi="Arial"/>
          <w:sz w:val="24"/>
          <w:szCs w:val="24"/>
        </w:rPr>
        <w:t xml:space="preserve"> </w:t>
      </w:r>
      <w:r>
        <w:rPr>
          <w:rFonts w:ascii="Arial" w:hAnsi="Arial"/>
          <w:sz w:val="24"/>
          <w:szCs w:val="24"/>
        </w:rPr>
        <w:br/>
      </w:r>
      <w:r>
        <w:rPr>
          <w:rFonts w:cs="Times New Roman" w:ascii="Arial" w:hAnsi="Arial"/>
          <w:i/>
          <w:iCs/>
          <w:sz w:val="24"/>
          <w:szCs w:val="24"/>
        </w:rPr>
        <w:t>Ansatte, ledelse og andre organisationer kan bedre forstå, hvordan ordningen fungerer, hvis organisationens væsentligste udfordringer er beskrevet.</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Etablering og introduktion</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Ressourcer</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Sikkerhed</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Whistleblower beskyttelse</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Anklagedes beskyttelse</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Sagsbehandling</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Statistik</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Nytteværdi for organisationen</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260"/>
              <w:rPr>
                <w:rFonts w:ascii="Arial" w:hAnsi="Arial"/>
                <w:sz w:val="24"/>
                <w:szCs w:val="24"/>
              </w:rPr>
            </w:pPr>
            <w:r>
              <w:rPr>
                <w:rFonts w:eastAsia="Times New Roman" w:cs="Times New Roman" w:ascii="Arial" w:hAnsi="Arial"/>
                <w:color w:val="000000"/>
                <w:sz w:val="24"/>
                <w:szCs w:val="24"/>
                <w:lang w:eastAsia="da-DK"/>
              </w:rPr>
              <w:t>Andet</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sz w:val="24"/>
          <w:szCs w:val="24"/>
        </w:rPr>
      </w:pPr>
      <w:r>
        <w:rPr>
          <w:rFonts w:cs="Times New Roman" w:ascii="Arial" w:hAnsi="Arial"/>
          <w:sz w:val="24"/>
          <w:szCs w:val="24"/>
        </w:rPr>
      </w:r>
    </w:p>
    <w:p>
      <w:pPr>
        <w:pStyle w:val="Normal"/>
        <w:rPr>
          <w:rFonts w:ascii="Arial" w:hAnsi="Arial"/>
          <w:sz w:val="24"/>
          <w:szCs w:val="24"/>
        </w:rPr>
      </w:pPr>
      <w:r>
        <w:rPr>
          <w:rFonts w:cs="Times New Roman" w:ascii="Arial" w:hAnsi="Arial"/>
          <w:b/>
          <w:bCs/>
          <w:sz w:val="24"/>
          <w:szCs w:val="24"/>
        </w:rPr>
        <w:t>Beskriv årets vigtigste hændelser. Følgende er kun eksempler.</w:t>
      </w:r>
      <w:r>
        <w:rPr>
          <w:rFonts w:cs="Times New Roman" w:ascii="Arial" w:hAnsi="Arial"/>
          <w:sz w:val="24"/>
          <w:szCs w:val="24"/>
        </w:rPr>
        <w:br/>
      </w:r>
      <w:r>
        <w:rPr>
          <w:rFonts w:cs="Times New Roman" w:ascii="Arial" w:hAnsi="Arial"/>
          <w:i/>
          <w:iCs/>
          <w:sz w:val="24"/>
          <w:szCs w:val="24"/>
        </w:rPr>
        <w:t>Dette kan være til inspiration for både interne medarbejdere og ledelse, såvel som for andre organisationer.</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Årets begivenheder og generelle trend</w:t>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De vigtigste sager</w:t>
              <w:br/>
              <w:t>anonymiseret og kategoriseret</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tabs>
                <w:tab w:val="clear" w:pos="1304"/>
                <w:tab w:val="left" w:pos="2723" w:leader="none"/>
              </w:tabs>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Organisationens nytteværdi</w:t>
              <w:br/>
              <w:t>f.eks. bedre offentlig omdømme, afdækning af systemiske problemer, forbedret åbenhedskultur</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Internationale aspekter</w:t>
              <w:br/>
              <w:t>f.eks. sager der berører udenlandske partnere, afdelinger eller medarbejdere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Måder whistleblowerordningen har påvirket organisationens medarbejdere</w:t>
              <w:br/>
              <w:t>F.eks. om organisationens fokus på gennemsigtighed, ordentlighed, mv., mere ejerskab blandt medarbejdere ift. at understøtte en god arbejdskultur; større tryghed blandt medarbejdere.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 xml:space="preserve">Tiltag i organisationen foranlediget af indberetningerne, </w:t>
              <w:br/>
              <w:t>f.eks. udarbejdelse eller forbedring af interne processer; udarbejdelse af nye politikker, codes of conduct, eller lignende; awareness-kampagner, trivsels-kampagner, mv.)</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Andet</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sz w:val="24"/>
          <w:szCs w:val="24"/>
        </w:rPr>
      </w:pPr>
      <w:r>
        <w:rPr>
          <w:rFonts w:cs="Times New Roman" w:ascii="Arial" w:hAnsi="Arial"/>
          <w:sz w:val="24"/>
          <w:szCs w:val="24"/>
        </w:rPr>
      </w:r>
    </w:p>
    <w:p>
      <w:pPr>
        <w:pStyle w:val="Normal"/>
        <w:rPr>
          <w:rFonts w:ascii="Arial" w:hAnsi="Arial"/>
          <w:sz w:val="24"/>
          <w:szCs w:val="24"/>
        </w:rPr>
      </w:pPr>
      <w:r>
        <w:rPr>
          <w:rFonts w:cs="Times New Roman" w:ascii="Arial" w:hAnsi="Arial"/>
          <w:b/>
          <w:bCs/>
          <w:sz w:val="24"/>
          <w:szCs w:val="24"/>
        </w:rPr>
        <w:t>Beskriv generelle forhold, der har gjort sig gældende, når sager ikke har kunnet færdigbehandles.</w:t>
        <w:br/>
      </w:r>
      <w:r>
        <w:rPr>
          <w:rFonts w:cs="Times New Roman" w:ascii="Arial" w:hAnsi="Arial"/>
          <w:bCs/>
          <w:i/>
          <w:sz w:val="24"/>
          <w:szCs w:val="24"/>
        </w:rPr>
        <w:t>Vi ved, at visse sager må lukkes af forskellige årsager, eksempelvis mangel på dokumentation eller inhabilitet. En beskrivelse af de generelle årsager til at lukke sådanne sager vil bidrage til erfaringsudveksling og skabe forståelse hos whistleblowere for, hvorfor visse sager ikke kan komme videre.</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Årsager til at sager ikke kunne færdigbehandles.</w:t>
            </w:r>
          </w:p>
          <w:p>
            <w:pPr>
              <w:pStyle w:val="Normal"/>
              <w:spacing w:lineRule="auto" w:line="240" w:before="0" w:after="0"/>
              <w:ind w:firstLine="5" w:left="214"/>
              <w:rPr>
                <w:rFonts w:ascii="Arial" w:hAnsi="Arial" w:eastAsia="Times New Roman" w:cs="Times New Roman"/>
                <w:color w:val="000000"/>
                <w:sz w:val="24"/>
                <w:szCs w:val="24"/>
                <w:lang w:eastAsia="da-DK"/>
              </w:rPr>
            </w:pPr>
            <w:r>
              <w:rPr>
                <w:rFonts w:eastAsia="Times New Roman" w:cs="Times New Roman" w:ascii="Arial" w:hAnsi="Arial"/>
                <w:color w:val="000000"/>
                <w:sz w:val="24"/>
                <w:szCs w:val="24"/>
                <w:lang w:eastAsia="da-DK"/>
              </w:rPr>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sz w:val="24"/>
          <w:szCs w:val="24"/>
        </w:rPr>
      </w:pPr>
      <w:r>
        <w:rPr>
          <w:rFonts w:cs="Times New Roman" w:ascii="Arial" w:hAnsi="Arial"/>
          <w:sz w:val="24"/>
          <w:szCs w:val="24"/>
        </w:rPr>
      </w:r>
    </w:p>
    <w:p>
      <w:pPr>
        <w:pStyle w:val="Normal"/>
        <w:rPr>
          <w:rFonts w:ascii="Arial" w:hAnsi="Arial"/>
          <w:sz w:val="24"/>
          <w:szCs w:val="24"/>
        </w:rPr>
      </w:pPr>
      <w:r>
        <w:rPr>
          <w:rFonts w:cs="Times New Roman" w:ascii="Arial" w:hAnsi="Arial"/>
          <w:b/>
          <w:bCs/>
          <w:sz w:val="24"/>
          <w:szCs w:val="24"/>
        </w:rPr>
        <w:t>Beskriv hvordan indrapportering af sager har indvirket på whistleblowere.</w:t>
      </w:r>
      <w:r>
        <w:rPr>
          <w:rFonts w:ascii="Arial" w:hAnsi="Arial"/>
          <w:sz w:val="24"/>
          <w:szCs w:val="24"/>
        </w:rPr>
        <w:br/>
      </w:r>
      <w:r>
        <w:rPr>
          <w:rFonts w:cs="Times New Roman" w:ascii="Arial" w:hAnsi="Arial"/>
          <w:sz w:val="24"/>
          <w:szCs w:val="24"/>
        </w:rPr>
        <w:t>Trods lovens intention om at beskytte whistleblowere kan en indrapportering indvirke på vedkommendes forhold. Angiv, om der er behandlet klager eller sager rejst af whistleblowere efterfølgende. Undgå personhenførbare oplysninger.</w:t>
      </w:r>
      <w:r>
        <w:rPr>
          <w:rFonts w:ascii="Arial" w:hAnsi="Arial"/>
          <w:sz w:val="24"/>
          <w:szCs w:val="24"/>
        </w:rPr>
        <w:br/>
      </w:r>
      <w:r>
        <w:rPr>
          <w:rFonts w:cs="Times New Roman" w:ascii="Arial" w:hAnsi="Arial"/>
          <w:i/>
          <w:iCs/>
          <w:sz w:val="24"/>
          <w:szCs w:val="24"/>
        </w:rPr>
        <w:t>Denne oplysning kan skabe yderligere tiltro til og mod til at anvende ordningen hos potentielle whistleblowere, eller synliggøre potentiale til yderligere tiltag</w:t>
      </w:r>
      <w:r>
        <w:rPr>
          <w:rFonts w:cs="Times New Roman" w:ascii="Arial" w:hAnsi="Arial"/>
          <w:sz w:val="24"/>
          <w:szCs w:val="24"/>
        </w:rPr>
        <w:t>.</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Antal klager over skadelig adfærd for whistlebloweren som konsekvens af vedkommendes indberetning(er)</w:t>
            </w:r>
          </w:p>
          <w:p>
            <w:pPr>
              <w:pStyle w:val="Normal"/>
              <w:spacing w:lineRule="auto" w:line="240" w:before="0" w:after="0"/>
              <w:ind w:firstLine="5" w:left="214"/>
              <w:rPr>
                <w:rFonts w:ascii="Arial" w:hAnsi="Arial" w:eastAsia="Times New Roman" w:cs="Times New Roman"/>
                <w:color w:val="000000"/>
                <w:sz w:val="24"/>
                <w:szCs w:val="24"/>
                <w:lang w:eastAsia="da-DK"/>
              </w:rPr>
            </w:pPr>
            <w:r>
              <w:rPr>
                <w:rFonts w:eastAsia="Times New Roman" w:cs="Times New Roman" w:ascii="Arial" w:hAnsi="Arial"/>
                <w:color w:val="000000"/>
                <w:sz w:val="24"/>
                <w:szCs w:val="24"/>
                <w:lang w:eastAsia="da-DK"/>
              </w:rPr>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Antal ]</w:t>
            </w:r>
          </w:p>
        </w:tc>
      </w:tr>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Antal færdigbehandlede klager af ovenstående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Antal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 xml:space="preserve">Typer af adfærd som har været skadelig for whistleblower </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Typer af afhjælpende foranstaltninger, der er truffet</w:t>
              <w:br/>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Beskriv ]</w:t>
            </w:r>
          </w:p>
        </w:tc>
      </w:tr>
    </w:tbl>
    <w:p>
      <w:pPr>
        <w:pStyle w:val="Normal"/>
        <w:rPr>
          <w:rFonts w:ascii="Arial" w:hAnsi="Arial" w:cs="Times New Roman"/>
          <w:sz w:val="24"/>
          <w:szCs w:val="24"/>
        </w:rPr>
      </w:pPr>
      <w:r>
        <w:rPr>
          <w:rFonts w:cs="Times New Roman" w:ascii="Arial" w:hAnsi="Arial"/>
          <w:sz w:val="24"/>
          <w:szCs w:val="24"/>
        </w:rPr>
      </w:r>
    </w:p>
    <w:p>
      <w:pPr>
        <w:pStyle w:val="Heading1"/>
        <w:rPr>
          <w:rFonts w:ascii="Arial" w:hAnsi="Arial"/>
          <w:sz w:val="24"/>
          <w:szCs w:val="24"/>
        </w:rPr>
      </w:pPr>
      <w:r>
        <w:rPr>
          <w:rFonts w:cs="Times New Roman"/>
          <w:b/>
          <w:bCs/>
          <w:sz w:val="24"/>
          <w:szCs w:val="24"/>
        </w:rPr>
        <w:t>Om evaluering og udvikling af ordninge</w:t>
      </w:r>
      <w:r>
        <w:rPr>
          <w:rFonts w:cs="Times New Roman"/>
          <w:b/>
          <w:bCs/>
          <w:sz w:val="24"/>
          <w:szCs w:val="24"/>
        </w:rPr>
        <w:t>n</w:t>
      </w:r>
    </w:p>
    <w:p>
      <w:pPr>
        <w:pStyle w:val="Normal"/>
        <w:rPr>
          <w:rFonts w:ascii="Arial" w:hAnsi="Arial"/>
          <w:sz w:val="24"/>
          <w:szCs w:val="24"/>
        </w:rPr>
      </w:pPr>
      <w:r>
        <w:rPr/>
      </w:r>
    </w:p>
    <w:p>
      <w:pPr>
        <w:pStyle w:val="Normal"/>
        <w:rPr>
          <w:rFonts w:ascii="Arial" w:hAnsi="Arial"/>
          <w:sz w:val="24"/>
          <w:szCs w:val="24"/>
        </w:rPr>
      </w:pPr>
      <w:r>
        <w:rPr>
          <w:rFonts w:cs="Times New Roman" w:ascii="Arial" w:hAnsi="Arial"/>
          <w:b/>
          <w:bCs/>
          <w:sz w:val="24"/>
          <w:szCs w:val="24"/>
        </w:rPr>
        <w:t>Beskriv hvilke tiltag der er udført i årets løb for at udbrede eller forbedre whistleblower ordningen. Nedenstående er eksempler.</w:t>
      </w:r>
      <w:r>
        <w:rPr>
          <w:rFonts w:cs="Times New Roman" w:ascii="Arial" w:hAnsi="Arial"/>
          <w:sz w:val="24"/>
          <w:szCs w:val="24"/>
        </w:rPr>
        <w:br/>
      </w:r>
      <w:r>
        <w:rPr>
          <w:rFonts w:cs="Times New Roman" w:ascii="Arial" w:hAnsi="Arial"/>
          <w:i/>
          <w:iCs/>
          <w:sz w:val="24"/>
          <w:szCs w:val="24"/>
        </w:rPr>
        <w:t>Det er værdifuldt for ansatte og ledelse at vide, at whistleblower ordningen har opmærksomhed og at der, selv det første år, arbejdes på den. Desuden kan det være til inspiration for andre sammenlignelige organisationer.</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Procesforbedringer</w:t>
              <w:br/>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Ændret ressource allokering</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Yderligere data og identitets beskyttelse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Uddannelse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 xml:space="preserve">Oplysnings kampagner </w:t>
              <w:br/>
              <w:t>(f.eks. intranet, mails, møder)</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 xml:space="preserve">Ekstern kommunikation </w:t>
              <w:br/>
              <w:t>(F.eks. hjemmeside, sociale medier, presse)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Andre tiltag</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bl>
    <w:p>
      <w:pPr>
        <w:pStyle w:val="Normal"/>
        <w:rPr>
          <w:rFonts w:ascii="Arial" w:hAnsi="Arial" w:cs="Times New Roman"/>
          <w:sz w:val="24"/>
          <w:szCs w:val="24"/>
        </w:rPr>
      </w:pPr>
      <w:r>
        <w:rPr>
          <w:rFonts w:cs="Times New Roman" w:ascii="Arial" w:hAnsi="Arial"/>
          <w:sz w:val="24"/>
          <w:szCs w:val="24"/>
        </w:rPr>
      </w:r>
    </w:p>
    <w:p>
      <w:pPr>
        <w:pStyle w:val="Normal"/>
        <w:rPr>
          <w:rFonts w:ascii="Arial" w:hAnsi="Arial"/>
          <w:sz w:val="24"/>
          <w:szCs w:val="24"/>
        </w:rPr>
      </w:pPr>
      <w:r>
        <w:rPr>
          <w:rFonts w:cs="Times New Roman" w:ascii="Arial" w:hAnsi="Arial"/>
          <w:b/>
          <w:bCs/>
          <w:sz w:val="24"/>
          <w:szCs w:val="24"/>
        </w:rPr>
        <w:t>Beskriv hvilke tiltag der er planlagt for året, der følger efter beretningen, for yderligere at udbrede eller forbedre whistleblower ordningen. Følgende er eksempler.</w:t>
        <w:br/>
      </w:r>
      <w:r>
        <w:rPr>
          <w:rFonts w:cs="Times New Roman" w:ascii="Arial" w:hAnsi="Arial"/>
          <w:i/>
          <w:iCs/>
          <w:sz w:val="24"/>
          <w:szCs w:val="24"/>
        </w:rPr>
        <w:t>Det er værdifuldt for ansatte og ledelse at vide, at whistleblower ordningen har opmærksomhed og at der fortsat arbejdes på den. Desuden kan det være til inspiration for andre sammenlignelige organisationer.</w:t>
      </w:r>
    </w:p>
    <w:tbl>
      <w:tblPr>
        <w:tblW w:w="82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79"/>
        <w:gridCol w:w="4100"/>
      </w:tblGrid>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Procesforbedringer</w:t>
              <w:br/>
            </w:r>
          </w:p>
        </w:tc>
        <w:tc>
          <w:tcPr>
            <w:tcW w:w="41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Justering af ressource allokering</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themeColor="text1" w:val="000000"/>
                <w:sz w:val="24"/>
                <w:szCs w:val="24"/>
                <w:lang w:eastAsia="da-DK"/>
              </w:rPr>
              <w:t>[ JA - beskriv ] / [ NEJ ]</w:t>
            </w:r>
          </w:p>
        </w:tc>
      </w:tr>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Yderligere beskyttelse af whistleblower identitet og sags data</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Yderligere uddannelse og promovering</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Yderligere ekstern kommunikation</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576"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Yderligere modvirkning af repressalier for whistleblowere</w:t>
              <w:br/>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r>
        <w:trPr>
          <w:trHeight w:val="288" w:hRule="atLeast"/>
        </w:trPr>
        <w:tc>
          <w:tcPr>
            <w:tcW w:w="4179" w:type="dxa"/>
            <w:tcBorders/>
            <w:shd w:color="auto" w:fill="auto" w:val="clear"/>
          </w:tcPr>
          <w:p>
            <w:pPr>
              <w:pStyle w:val="Normal"/>
              <w:spacing w:lineRule="auto" w:line="240" w:before="0" w:after="0"/>
              <w:ind w:firstLine="5" w:left="214"/>
              <w:rPr>
                <w:rFonts w:ascii="Arial" w:hAnsi="Arial"/>
                <w:sz w:val="24"/>
                <w:szCs w:val="24"/>
              </w:rPr>
            </w:pPr>
            <w:r>
              <w:rPr>
                <w:rFonts w:eastAsia="Times New Roman" w:cs="Times New Roman" w:ascii="Arial" w:hAnsi="Arial"/>
                <w:color w:val="000000"/>
                <w:sz w:val="24"/>
                <w:szCs w:val="24"/>
                <w:lang w:eastAsia="da-DK"/>
              </w:rPr>
              <w:t>Andre tiltag</w:t>
            </w:r>
          </w:p>
        </w:tc>
        <w:tc>
          <w:tcPr>
            <w:tcW w:w="410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sz w:val="24"/>
                <w:szCs w:val="24"/>
              </w:rPr>
            </w:pPr>
            <w:r>
              <w:rPr>
                <w:rFonts w:eastAsia="Times New Roman" w:cs="Times New Roman" w:ascii="Arial" w:hAnsi="Arial"/>
                <w:color w:val="000000"/>
                <w:sz w:val="24"/>
                <w:szCs w:val="24"/>
                <w:lang w:eastAsia="da-DK"/>
              </w:rPr>
              <w:t>[ JA - beskriv ] / [ NEJ ]</w:t>
            </w:r>
          </w:p>
        </w:tc>
      </w:tr>
    </w:tbl>
    <w:p>
      <w:pPr>
        <w:pStyle w:val="Normal"/>
        <w:rPr>
          <w:rFonts w:ascii="Arial" w:hAnsi="Arial"/>
          <w:sz w:val="24"/>
          <w:szCs w:val="24"/>
        </w:rPr>
      </w:pPr>
      <w:r>
        <w:rPr>
          <w:rFonts w:ascii="Arial" w:hAnsi="Arial"/>
          <w:sz w:val="24"/>
          <w:szCs w:val="24"/>
        </w:rPr>
      </w:r>
    </w:p>
    <w:p>
      <w:pPr>
        <w:pStyle w:val="Normal"/>
        <w:spacing w:before="0" w:after="160"/>
        <w:rPr>
          <w:rFonts w:ascii="Arial" w:hAnsi="Arial"/>
          <w:b/>
          <w:bCs/>
          <w:sz w:val="24"/>
          <w:szCs w:val="24"/>
        </w:rPr>
      </w:pPr>
      <w:r>
        <w:rPr>
          <w:rFonts w:ascii="Arial" w:hAnsi="Arial"/>
          <w:b/>
          <w:bCs/>
          <w:sz w:val="24"/>
          <w:szCs w:val="24"/>
        </w:rPr>
      </w:r>
    </w:p>
    <w:sectPr>
      <w:headerReference w:type="default" r:id="rId3"/>
      <w:type w:val="nextPage"/>
      <w:pgSz w:w="11906" w:h="16838"/>
      <w:pgMar w:left="1440" w:right="1440" w:gutter="0" w:header="708"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Garamond">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drawing>
        <wp:inline distT="0" distB="0" distL="0" distR="0">
          <wp:extent cx="1545590" cy="4432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545590" cy="44323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552b"/>
    <w:pPr>
      <w:widowControl/>
      <w:suppressAutoHyphens w:val="true"/>
      <w:bidi w:val="0"/>
      <w:spacing w:lineRule="auto" w:line="259" w:before="0" w:after="160"/>
      <w:jc w:val="left"/>
    </w:pPr>
    <w:rPr>
      <w:rFonts w:ascii="Garamond" w:hAnsi="Garamond" w:eastAsia="Arial" w:cs="DejaVu Sans" w:cstheme="minorBidi" w:eastAsiaTheme="minorHAnsi"/>
      <w:color w:val="auto"/>
      <w:kern w:val="0"/>
      <w:sz w:val="26"/>
      <w:szCs w:val="22"/>
      <w:lang w:val="da-DK" w:eastAsia="en-US" w:bidi="ar-SA"/>
    </w:rPr>
  </w:style>
  <w:style w:type="paragraph" w:styleId="Heading1">
    <w:name w:val="Heading 1"/>
    <w:basedOn w:val="Normal"/>
    <w:next w:val="Normal"/>
    <w:link w:val="Heading1Char"/>
    <w:uiPriority w:val="9"/>
    <w:qFormat/>
    <w:rsid w:val="007d4a5a"/>
    <w:pPr>
      <w:keepNext w:val="true"/>
      <w:keepLines/>
      <w:spacing w:before="240" w:after="0"/>
      <w:outlineLvl w:val="0"/>
    </w:pPr>
    <w:rPr>
      <w:rFonts w:ascii="Arial" w:hAnsi="Arial" w:eastAsia="DejaVu Sans" w:cs="DejaVu Sans" w:asciiTheme="majorHAnsi" w:cstheme="majorBidi" w:eastAsiaTheme="majorEastAsia" w:hAnsiTheme="majorHAnsi"/>
      <w:color w:themeColor="accent1" w:themeShade="bf" w:val="2E74B5"/>
      <w:sz w:val="32"/>
      <w:szCs w:val="32"/>
    </w:rPr>
  </w:style>
  <w:style w:type="paragraph" w:styleId="Heading2">
    <w:name w:val="Heading 2"/>
    <w:basedOn w:val="Heading"/>
    <w:next w:val="BodyText"/>
    <w:qFormat/>
    <w:pPr>
      <w:numPr>
        <w:ilvl w:val="0"/>
        <w:numId w:val="0"/>
      </w:num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66f34"/>
    <w:rPr/>
  </w:style>
  <w:style w:type="character" w:styleId="FooterChar" w:customStyle="1">
    <w:name w:val="Footer Char"/>
    <w:basedOn w:val="DefaultParagraphFont"/>
    <w:link w:val="Footer"/>
    <w:uiPriority w:val="99"/>
    <w:qFormat/>
    <w:rsid w:val="00266f34"/>
    <w:rPr/>
  </w:style>
  <w:style w:type="character" w:styleId="Hyperlink">
    <w:name w:val="Hyperlink"/>
    <w:basedOn w:val="DefaultParagraphFont"/>
    <w:uiPriority w:val="99"/>
    <w:unhideWhenUsed/>
    <w:rsid w:val="00266f34"/>
    <w:rPr>
      <w:color w:themeColor="hyperlink" w:val="0563C1"/>
      <w:u w:val="single"/>
    </w:rPr>
  </w:style>
  <w:style w:type="character" w:styleId="Annotationreference">
    <w:name w:val="annotation reference"/>
    <w:basedOn w:val="DefaultParagraphFont"/>
    <w:uiPriority w:val="99"/>
    <w:semiHidden/>
    <w:unhideWhenUsed/>
    <w:qFormat/>
    <w:rsid w:val="00ef0adf"/>
    <w:rPr>
      <w:sz w:val="16"/>
      <w:szCs w:val="16"/>
    </w:rPr>
  </w:style>
  <w:style w:type="character" w:styleId="CommentTextChar" w:customStyle="1">
    <w:name w:val="Comment Text Char"/>
    <w:basedOn w:val="DefaultParagraphFont"/>
    <w:link w:val="Annotationtext"/>
    <w:uiPriority w:val="99"/>
    <w:qFormat/>
    <w:rsid w:val="00ef0adf"/>
    <w:rPr>
      <w:sz w:val="20"/>
      <w:szCs w:val="20"/>
    </w:rPr>
  </w:style>
  <w:style w:type="character" w:styleId="CommentSubjectChar" w:customStyle="1">
    <w:name w:val="Comment Subject Char"/>
    <w:basedOn w:val="CommentTextChar"/>
    <w:link w:val="Annotationsubject"/>
    <w:uiPriority w:val="99"/>
    <w:semiHidden/>
    <w:qFormat/>
    <w:rsid w:val="00ef0adf"/>
    <w:rPr>
      <w:b/>
      <w:bCs/>
      <w:sz w:val="20"/>
      <w:szCs w:val="20"/>
    </w:rPr>
  </w:style>
  <w:style w:type="character" w:styleId="Heading1Char" w:customStyle="1">
    <w:name w:val="Heading 1 Char"/>
    <w:basedOn w:val="DefaultParagraphFont"/>
    <w:link w:val="Heading1"/>
    <w:uiPriority w:val="9"/>
    <w:qFormat/>
    <w:rsid w:val="007d4a5a"/>
    <w:rPr>
      <w:rFonts w:ascii="Arial" w:hAnsi="Arial" w:eastAsia="DejaVu Sans" w:cs="DejaVu Sans" w:asciiTheme="majorHAnsi" w:cstheme="majorBidi" w:eastAsiaTheme="majorEastAsia" w:hAnsiTheme="majorHAnsi"/>
      <w:color w:themeColor="accent1" w:themeShade="bf" w:val="2E74B5"/>
      <w:sz w:val="32"/>
      <w:szCs w:val="32"/>
    </w:rPr>
  </w:style>
  <w:style w:type="character" w:styleId="BalloonTextChar" w:customStyle="1">
    <w:name w:val="Balloon Text Char"/>
    <w:basedOn w:val="DefaultParagraphFont"/>
    <w:link w:val="BalloonText"/>
    <w:uiPriority w:val="99"/>
    <w:semiHidden/>
    <w:qFormat/>
    <w:rsid w:val="00bd2569"/>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054507"/>
    <w:rPr>
      <w:sz w:val="20"/>
      <w:szCs w:val="20"/>
    </w:rPr>
  </w:style>
  <w:style w:type="character" w:styleId="FootnoteCharacters">
    <w:name w:val="Footnote Characters"/>
    <w:uiPriority w:val="99"/>
    <w:semiHidden/>
    <w:unhideWhenUsed/>
    <w:qFormat/>
    <w:rsid w:val="00054507"/>
    <w:rPr>
      <w:vertAlign w:val="superscript"/>
    </w:rPr>
  </w:style>
  <w:style w:type="character" w:styleId="FootnoteReference">
    <w:name w:val="Footnote Reference"/>
    <w:rPr>
      <w:vertAlign w:val="superscript"/>
    </w:rPr>
  </w:style>
  <w:style w:type="character" w:styleId="LineNumber">
    <w:name w:val="Line Number"/>
    <w:rPr/>
  </w:style>
  <w:style w:type="character" w:styleId="KommentaremneTegn">
    <w:name w:val="Kommentaremne Tegn"/>
    <w:basedOn w:val="KommentartekstTegn"/>
    <w:qFormat/>
    <w:rPr>
      <w:rFonts w:cs="Mangal"/>
      <w:b/>
      <w:bCs/>
      <w:sz w:val="20"/>
      <w:szCs w:val="18"/>
    </w:rPr>
  </w:style>
  <w:style w:type="character" w:styleId="KommentartekstTegn">
    <w:name w:val="Kommentartekst Tegn"/>
    <w:basedOn w:val="DefaultParagraphFont"/>
    <w:qFormat/>
    <w:rPr>
      <w:rFonts w:cs="Mangal"/>
      <w:sz w:val="20"/>
      <w:szCs w:val="18"/>
    </w:rPr>
  </w:style>
  <w:style w:type="character" w:styleId="Strong">
    <w:name w:val="Strong"/>
    <w:qFormat/>
    <w:rPr>
      <w:b/>
      <w:bCs/>
    </w:rPr>
  </w:style>
  <w:style w:type="character" w:styleId="Emphasis">
    <w:name w:val="Emphasis"/>
    <w:qFormat/>
    <w:rPr>
      <w:i/>
      <w:i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266f34"/>
    <w:pPr>
      <w:tabs>
        <w:tab w:val="clear" w:pos="1304"/>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66f34"/>
    <w:pPr>
      <w:tabs>
        <w:tab w:val="clear" w:pos="1304"/>
        <w:tab w:val="center" w:pos="4513" w:leader="none"/>
        <w:tab w:val="right" w:pos="9026" w:leader="none"/>
      </w:tabs>
      <w:spacing w:lineRule="auto" w:line="240" w:before="0" w:after="0"/>
    </w:pPr>
    <w:rPr/>
  </w:style>
  <w:style w:type="paragraph" w:styleId="Revision">
    <w:name w:val="Revision"/>
    <w:uiPriority w:val="99"/>
    <w:semiHidden/>
    <w:qFormat/>
    <w:rsid w:val="00926ae0"/>
    <w:pPr>
      <w:widowControl/>
      <w:suppressAutoHyphens w:val="true"/>
      <w:bidi w:val="0"/>
      <w:spacing w:lineRule="auto" w:line="240" w:before="0" w:after="0"/>
      <w:jc w:val="left"/>
    </w:pPr>
    <w:rPr>
      <w:rFonts w:ascii="Arial" w:hAnsi="Arial" w:eastAsia="Arial" w:cs="DejaVu Sans" w:asciiTheme="minorHAnsi" w:cstheme="minorBidi" w:eastAsiaTheme="minorHAnsi" w:hAnsiTheme="minorHAnsi"/>
      <w:color w:val="auto"/>
      <w:kern w:val="0"/>
      <w:sz w:val="22"/>
      <w:szCs w:val="22"/>
      <w:lang w:val="da-DK" w:eastAsia="en-US" w:bidi="ar-SA"/>
    </w:rPr>
  </w:style>
  <w:style w:type="paragraph" w:styleId="Annotationtext">
    <w:name w:val="annotation text"/>
    <w:basedOn w:val="Normal"/>
    <w:link w:val="CommentTextChar"/>
    <w:uiPriority w:val="99"/>
    <w:unhideWhenUsed/>
    <w:qFormat/>
    <w:rsid w:val="00ef0adf"/>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ef0adf"/>
    <w:pPr/>
    <w:rPr>
      <w:b/>
      <w:bCs/>
    </w:rPr>
  </w:style>
  <w:style w:type="paragraph" w:styleId="BalloonText">
    <w:name w:val="Balloon Text"/>
    <w:basedOn w:val="Normal"/>
    <w:link w:val="BalloonTextChar"/>
    <w:uiPriority w:val="99"/>
    <w:semiHidden/>
    <w:unhideWhenUsed/>
    <w:qFormat/>
    <w:rsid w:val="00bd2569"/>
    <w:pPr>
      <w:spacing w:lineRule="auto" w:line="240" w:before="0" w:after="0"/>
    </w:pPr>
    <w:rPr>
      <w:rFonts w:ascii="Segoe UI" w:hAnsi="Segoe UI" w:cs="Segoe UI"/>
      <w:sz w:val="18"/>
      <w:szCs w:val="18"/>
    </w:rPr>
  </w:style>
  <w:style w:type="paragraph" w:styleId="FootnoteText">
    <w:name w:val="Footnote Text"/>
    <w:basedOn w:val="Normal"/>
    <w:link w:val="FootnoteTextChar"/>
    <w:uiPriority w:val="99"/>
    <w:semiHidden/>
    <w:unhideWhenUsed/>
    <w:rsid w:val="00054507"/>
    <w:pPr>
      <w:spacing w:lineRule="auto" w:line="240" w:before="0" w:after="0"/>
    </w:pPr>
    <w:rPr>
      <w:sz w:val="20"/>
      <w:szCs w:val="20"/>
    </w:rPr>
  </w:style>
  <w:style w:type="paragraph" w:styleId="Xmsonormal" w:customStyle="1">
    <w:name w:val="x_msonormal"/>
    <w:basedOn w:val="Normal"/>
    <w:qFormat/>
    <w:rsid w:val="009d30c7"/>
    <w:pPr>
      <w:spacing w:lineRule="auto" w:line="240" w:beforeAutospacing="1" w:afterAutospacing="1"/>
    </w:pPr>
    <w:rPr>
      <w:rFonts w:ascii="Times New Roman" w:hAnsi="Times New Roman" w:eastAsia="Times New Roman" w:cs="Times New Roman"/>
      <w:sz w:val="24"/>
      <w:szCs w:val="24"/>
      <w:lang w:eastAsia="da-DK"/>
    </w:rPr>
  </w:style>
  <w:style w:type="paragraph" w:styleId="Xmsolistparagraph" w:customStyle="1">
    <w:name w:val="x_msolistparagraph"/>
    <w:basedOn w:val="Normal"/>
    <w:qFormat/>
    <w:rsid w:val="009d30c7"/>
    <w:pPr>
      <w:spacing w:lineRule="auto" w:line="240" w:beforeAutospacing="1" w:afterAutospacing="1"/>
    </w:pPr>
    <w:rPr>
      <w:rFonts w:ascii="Times New Roman" w:hAnsi="Times New Roman" w:eastAsia="Times New Roman" w:cs="Times New Roman"/>
      <w:sz w:val="24"/>
      <w:szCs w:val="24"/>
      <w:lang w:eastAsia="da-DK"/>
    </w:rPr>
  </w:style>
  <w:style w:type="paragraph" w:styleId="ListParagraph">
    <w:name w:val="List Paragraph"/>
    <w:basedOn w:val="Normal"/>
    <w:uiPriority w:val="34"/>
    <w:qFormat/>
    <w:rsid w:val="00234cda"/>
    <w:pPr>
      <w:spacing w:before="0" w:after="160"/>
      <w:ind w:left="720"/>
      <w:contextualSpacing/>
    </w:pPr>
    <w:rPr/>
  </w:style>
  <w:style w:type="paragraph" w:styleId="Caption1">
    <w:name w:val="caption1"/>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66f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nsparency.dk/"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D09706572E44DBA2B7B3E15B20300" ma:contentTypeVersion="18" ma:contentTypeDescription="Create a new document." ma:contentTypeScope="" ma:versionID="48ed786832e3797832a0433638a262c9">
  <xsd:schema xmlns:xsd="http://www.w3.org/2001/XMLSchema" xmlns:xs="http://www.w3.org/2001/XMLSchema" xmlns:p="http://schemas.microsoft.com/office/2006/metadata/properties" xmlns:ns2="3a2acf82-2c1d-4f6d-acee-f2708bed9626" xmlns:ns3="ff9435b8-ce3a-40ef-89fe-73343b63c2f7" targetNamespace="http://schemas.microsoft.com/office/2006/metadata/properties" ma:root="true" ma:fieldsID="02bf8a451d155bebfbd6472db814cb7e" ns2:_="" ns3:_="">
    <xsd:import namespace="3a2acf82-2c1d-4f6d-acee-f2708bed9626"/>
    <xsd:import namespace="ff9435b8-ce3a-40ef-89fe-73343b63c2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acf82-2c1d-4f6d-acee-f2708bed9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435b8-ce3a-40ef-89fe-73343b63c2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b590a2-5a1d-4295-97eb-68fded728e4e}" ma:internalName="TaxCatchAll" ma:showField="CatchAllData" ma:web="ff9435b8-ce3a-40ef-89fe-73343b63c2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9E089-0708-4187-A217-097980F598BC}">
  <ds:schemaRefs>
    <ds:schemaRef ds:uri="http://schemas.openxmlformats.org/officeDocument/2006/bibliography"/>
  </ds:schemaRefs>
</ds:datastoreItem>
</file>

<file path=customXml/itemProps2.xml><?xml version="1.0" encoding="utf-8"?>
<ds:datastoreItem xmlns:ds="http://schemas.openxmlformats.org/officeDocument/2006/customXml" ds:itemID="{0F7ADF30-3163-4F02-A0DE-971C33665F58}">
  <ds:schemaRefs>
    <ds:schemaRef ds:uri="http://schemas.microsoft.com/sharepoint/v3/contenttype/forms"/>
  </ds:schemaRefs>
</ds:datastoreItem>
</file>

<file path=customXml/itemProps3.xml><?xml version="1.0" encoding="utf-8"?>
<ds:datastoreItem xmlns:ds="http://schemas.openxmlformats.org/officeDocument/2006/customXml" ds:itemID="{02EDCD02-7046-41D0-91FE-282D796F4DA0}"/>
</file>

<file path=docProps/app.xml><?xml version="1.0" encoding="utf-8"?>
<Properties xmlns="http://schemas.openxmlformats.org/officeDocument/2006/extended-properties" xmlns:vt="http://schemas.openxmlformats.org/officeDocument/2006/docPropsVTypes">
  <Template>Normal.dotm</Template>
  <TotalTime>33</TotalTime>
  <Application>LibreOffice/7.6.4.1$Windows_X86_64 LibreOffice_project/e19e193f88cd6c0525a17fb7a176ed8e6a3e2aa1</Application>
  <AppVersion>15.0000</AppVersion>
  <Pages>7</Pages>
  <Words>1600</Words>
  <Characters>8765</Characters>
  <CharactersWithSpaces>10229</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ontentStatus>Final</cp:contentStatus>
  <dcterms:created xsi:type="dcterms:W3CDTF">2022-09-21T17:54:00Z</dcterms:created>
  <dc:creator>Lars Wriedt</dc:creator>
  <dc:description/>
  <dc:language>da-DK</dc:language>
  <cp:lastModifiedBy>Lars</cp:lastModifiedBy>
  <dcterms:modified xsi:type="dcterms:W3CDTF">2024-05-10T19:07:06Z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file>