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6" w:type="dxa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4"/>
        <w:gridCol w:w="4912"/>
      </w:tblGrid>
      <w:tr w:rsidR="008560DA" w14:paraId="5B16D83A" w14:textId="77777777">
        <w:tblPrEx>
          <w:tblCellMar>
            <w:top w:w="0" w:type="dxa"/>
            <w:bottom w:w="0" w:type="dxa"/>
          </w:tblCellMar>
        </w:tblPrEx>
        <w:trPr>
          <w:trHeight w:val="452"/>
          <w:tblHeader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AE0C" w14:textId="77777777" w:rsidR="008560DA" w:rsidRDefault="00000000">
            <w:pPr>
              <w:pStyle w:val="StandardWWWW"/>
              <w:spacing w:after="0" w:line="240" w:lineRule="auto"/>
              <w:textAlignment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Beretning om Whistleblower aktivitet for året 2023</w:t>
            </w:r>
          </w:p>
        </w:tc>
      </w:tr>
      <w:tr w:rsidR="008560DA" w14:paraId="30B5B537" w14:textId="77777777">
        <w:tblPrEx>
          <w:tblCellMar>
            <w:top w:w="0" w:type="dxa"/>
            <w:bottom w:w="0" w:type="dxa"/>
          </w:tblCellMar>
        </w:tblPrEx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090E" w14:textId="77777777" w:rsidR="008560DA" w:rsidRDefault="00000000">
            <w:pPr>
              <w:pStyle w:val="StandardWWWW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Organisationens navn og CVR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2BB7" w14:textId="77777777" w:rsidR="008560DA" w:rsidRDefault="00000000">
            <w:pPr>
              <w:pStyle w:val="StandardWWWW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Cs/>
                <w:sz w:val="24"/>
                <w:szCs w:val="24"/>
              </w:rPr>
              <w:t>[ Navn</w:t>
            </w:r>
            <w:proofErr w:type="gram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]</w:t>
            </w:r>
          </w:p>
          <w:p w14:paraId="2CE3C5DA" w14:textId="77777777" w:rsidR="008560DA" w:rsidRDefault="00000000">
            <w:pPr>
              <w:pStyle w:val="StandardWWWW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Cs/>
                <w:sz w:val="24"/>
                <w:szCs w:val="24"/>
              </w:rPr>
              <w:t>[ Adresse</w:t>
            </w:r>
            <w:proofErr w:type="gram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]</w:t>
            </w:r>
          </w:p>
          <w:p w14:paraId="392A02C7" w14:textId="77777777" w:rsidR="008560DA" w:rsidRDefault="00000000">
            <w:pPr>
              <w:pStyle w:val="StandardWWWW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Cs/>
                <w:sz w:val="24"/>
                <w:szCs w:val="24"/>
              </w:rPr>
              <w:t>[ CVR</w:t>
            </w:r>
            <w:proofErr w:type="gram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nummer ]</w:t>
            </w:r>
          </w:p>
          <w:p w14:paraId="1BB96A2E" w14:textId="77777777" w:rsidR="008560DA" w:rsidRDefault="008560DA">
            <w:pPr>
              <w:pStyle w:val="StandardWWWW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14:paraId="332B310A" w14:textId="77777777" w:rsidR="008560DA" w:rsidRDefault="00000000">
            <w:pPr>
              <w:pStyle w:val="StandardWWWW"/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Cs/>
                <w:sz w:val="24"/>
                <w:szCs w:val="24"/>
              </w:rPr>
              <w:t>[ Hvis</w:t>
            </w:r>
            <w:proofErr w:type="gram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beretningen omfatter flere organisationer, så anfør en liste med navne og CVR numre. ]</w:t>
            </w:r>
          </w:p>
          <w:p w14:paraId="1B052DAB" w14:textId="77777777" w:rsidR="008560DA" w:rsidRDefault="008560DA">
            <w:pPr>
              <w:pStyle w:val="StandardWWWW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8560DA" w14:paraId="01AE976F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CC62" w14:textId="77777777" w:rsidR="008560DA" w:rsidRDefault="00000000">
            <w:pPr>
              <w:pStyle w:val="StandardWWWW"/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da-DK"/>
              </w:rPr>
              <w:t xml:space="preserve">Beretningen er underlagt bl.a. de særlige tavshedspligtsbestemmelser i § 25 i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pacing w:val="4"/>
                <w:sz w:val="24"/>
                <w:szCs w:val="24"/>
                <w:lang w:eastAsia="da-DK"/>
              </w:rPr>
              <w:t>Lov om beskyttelse af whistleblowere</w:t>
            </w:r>
            <w:r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da-DK"/>
              </w:rPr>
              <w:t>. Beretningen er udformet således, at det ikke er muligt at identificere whistlebloweren, ligesom beretningen ikke indeholder nærmere oplysninger fra de enkelte indberetninger.</w:t>
            </w:r>
          </w:p>
        </w:tc>
      </w:tr>
    </w:tbl>
    <w:p w14:paraId="21F429E9" w14:textId="77777777" w:rsidR="008560DA" w:rsidRDefault="008560DA">
      <w:pPr>
        <w:pStyle w:val="StandardWWWW"/>
        <w:rPr>
          <w:rFonts w:ascii="Calibri" w:hAnsi="Calibri" w:cs="Times New Roman"/>
          <w:bCs/>
          <w:color w:val="2E74B5"/>
          <w:sz w:val="24"/>
          <w:szCs w:val="24"/>
        </w:rPr>
      </w:pPr>
    </w:p>
    <w:tbl>
      <w:tblPr>
        <w:tblW w:w="9018" w:type="dxa"/>
        <w:tblInd w:w="-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2"/>
        <w:gridCol w:w="1439"/>
        <w:gridCol w:w="3747"/>
        <w:gridCol w:w="388"/>
        <w:gridCol w:w="1192"/>
      </w:tblGrid>
      <w:tr w:rsidR="008560DA" w14:paraId="6F0EFD3E" w14:textId="77777777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9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860C" w14:textId="77777777" w:rsidR="008560DA" w:rsidRDefault="00000000">
            <w:pPr>
              <w:pStyle w:val="TableContents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Omfang</w:t>
            </w:r>
          </w:p>
          <w:p w14:paraId="0F3B3FE5" w14:textId="77777777" w:rsidR="008560DA" w:rsidRDefault="00000000">
            <w:pPr>
              <w:pStyle w:val="TableContents"/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Anfør periodens samlede antal sager i tabellen</w:t>
            </w:r>
          </w:p>
        </w:tc>
      </w:tr>
      <w:tr w:rsidR="008560DA" w14:paraId="7B27E7C5" w14:textId="77777777">
        <w:tblPrEx>
          <w:tblCellMar>
            <w:top w:w="0" w:type="dxa"/>
            <w:bottom w:w="0" w:type="dxa"/>
          </w:tblCellMar>
        </w:tblPrEx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6378C" w14:textId="77777777" w:rsidR="008560DA" w:rsidRDefault="00000000">
            <w:pPr>
              <w:pStyle w:val="TableContents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Periode start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DD1CC" w14:textId="77777777" w:rsidR="008560DA" w:rsidRDefault="00000000">
            <w:pPr>
              <w:pStyle w:val="TableContents"/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[ dato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]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65414" w14:textId="77777777" w:rsidR="008560DA" w:rsidRDefault="00000000">
            <w:pPr>
              <w:pStyle w:val="TableContents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Slut</w:t>
            </w: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45C5A" w14:textId="77777777" w:rsidR="008560DA" w:rsidRDefault="00000000">
            <w:pPr>
              <w:pStyle w:val="TableContents"/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[ dato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]</w:t>
            </w:r>
          </w:p>
        </w:tc>
      </w:tr>
      <w:tr w:rsidR="008560DA" w14:paraId="7804A4EB" w14:textId="77777777">
        <w:tblPrEx>
          <w:tblCellMar>
            <w:top w:w="0" w:type="dxa"/>
            <w:bottom w:w="0" w:type="dxa"/>
          </w:tblCellMar>
        </w:tblPrEx>
        <w:tc>
          <w:tcPr>
            <w:tcW w:w="78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3732B" w14:textId="77777777" w:rsidR="008560DA" w:rsidRDefault="00000000">
            <w:pPr>
              <w:pStyle w:val="TableContent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Der har ingen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whistleblower indberetninger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været i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peioden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, og dermed ingen data i den resterende del af årsberetningen.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6032D" w14:textId="77777777" w:rsidR="008560DA" w:rsidRDefault="00000000">
            <w:pPr>
              <w:pStyle w:val="TableContents"/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[ Ja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/ Nej ]</w:t>
            </w:r>
          </w:p>
        </w:tc>
      </w:tr>
      <w:tr w:rsidR="008560DA" w14:paraId="37DE1BA1" w14:textId="77777777">
        <w:tblPrEx>
          <w:tblCellMar>
            <w:top w:w="0" w:type="dxa"/>
            <w:bottom w:w="0" w:type="dxa"/>
          </w:tblCellMar>
        </w:tblPrEx>
        <w:tc>
          <w:tcPr>
            <w:tcW w:w="78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7C7D3" w14:textId="77777777" w:rsidR="008560DA" w:rsidRDefault="00000000">
            <w:pPr>
              <w:pStyle w:val="TableContent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Indberetninger fra forrige periode(r) som fortsat behandles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9DE9E" w14:textId="77777777" w:rsidR="008560DA" w:rsidRDefault="00000000">
            <w:pPr>
              <w:pStyle w:val="TableContents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[antal]</w:t>
            </w:r>
          </w:p>
        </w:tc>
      </w:tr>
      <w:tr w:rsidR="008560DA" w14:paraId="1F152625" w14:textId="77777777">
        <w:tblPrEx>
          <w:tblCellMar>
            <w:top w:w="0" w:type="dxa"/>
            <w:bottom w:w="0" w:type="dxa"/>
          </w:tblCellMar>
        </w:tblPrEx>
        <w:tc>
          <w:tcPr>
            <w:tcW w:w="78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6CD39" w14:textId="77777777" w:rsidR="008560DA" w:rsidRDefault="00000000">
            <w:pPr>
              <w:pStyle w:val="TableContent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Modtagne indberetninger i perioden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BE676" w14:textId="77777777" w:rsidR="008560DA" w:rsidRDefault="00000000">
            <w:pPr>
              <w:pStyle w:val="TableContents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[antal]</w:t>
            </w:r>
          </w:p>
        </w:tc>
      </w:tr>
      <w:tr w:rsidR="008560DA" w14:paraId="343208CC" w14:textId="77777777">
        <w:tblPrEx>
          <w:tblCellMar>
            <w:top w:w="0" w:type="dxa"/>
            <w:bottom w:w="0" w:type="dxa"/>
          </w:tblCellMar>
        </w:tblPrEx>
        <w:tc>
          <w:tcPr>
            <w:tcW w:w="78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514DD" w14:textId="77777777" w:rsidR="008560DA" w:rsidRDefault="00000000">
            <w:pPr>
              <w:pStyle w:val="TableContent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Afviste indberetninger i perioden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E1757" w14:textId="77777777" w:rsidR="008560DA" w:rsidRDefault="00000000">
            <w:pPr>
              <w:pStyle w:val="TableContents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[antal]</w:t>
            </w:r>
          </w:p>
        </w:tc>
      </w:tr>
      <w:tr w:rsidR="008560DA" w14:paraId="327732B9" w14:textId="77777777">
        <w:tblPrEx>
          <w:tblCellMar>
            <w:top w:w="0" w:type="dxa"/>
            <w:bottom w:w="0" w:type="dxa"/>
          </w:tblCellMar>
        </w:tblPrEx>
        <w:tc>
          <w:tcPr>
            <w:tcW w:w="78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849AE" w14:textId="77777777" w:rsidR="008560DA" w:rsidRDefault="00000000">
            <w:pPr>
              <w:pStyle w:val="TableContent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Realitetsbehandlede indberetninger i perioden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F94AB" w14:textId="77777777" w:rsidR="008560DA" w:rsidRDefault="00000000">
            <w:pPr>
              <w:pStyle w:val="TableContents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[antal]</w:t>
            </w:r>
          </w:p>
        </w:tc>
      </w:tr>
      <w:tr w:rsidR="008560DA" w14:paraId="25F4A2FE" w14:textId="77777777">
        <w:tblPrEx>
          <w:tblCellMar>
            <w:top w:w="0" w:type="dxa"/>
            <w:bottom w:w="0" w:type="dxa"/>
          </w:tblCellMar>
        </w:tblPrEx>
        <w:tc>
          <w:tcPr>
            <w:tcW w:w="78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1AB71" w14:textId="77777777" w:rsidR="008560DA" w:rsidRDefault="00000000">
            <w:pPr>
              <w:pStyle w:val="TableContent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Uafsluttede indberetninger, der fortsat behandles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AC56C" w14:textId="77777777" w:rsidR="008560DA" w:rsidRDefault="00000000">
            <w:pPr>
              <w:pStyle w:val="TableContents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[antal]</w:t>
            </w:r>
          </w:p>
        </w:tc>
      </w:tr>
      <w:tr w:rsidR="008560DA" w14:paraId="4E89C5C8" w14:textId="77777777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DAD2F" w14:textId="77777777" w:rsidR="008560DA" w:rsidRDefault="00000000">
            <w:pPr>
              <w:pStyle w:val="TableContents"/>
            </w:pPr>
            <w:r>
              <w:rPr>
                <w:rFonts w:ascii="Calibri" w:hAnsi="Calibri"/>
                <w:sz w:val="24"/>
                <w:szCs w:val="24"/>
              </w:rPr>
              <w:t>[Særlige bemærkninger om perioden]</w:t>
            </w:r>
            <w:r>
              <w:rPr>
                <w:rFonts w:ascii="Calibri" w:hAnsi="Calibri"/>
                <w:sz w:val="24"/>
                <w:szCs w:val="24"/>
              </w:rPr>
              <w:br/>
            </w:r>
          </w:p>
        </w:tc>
      </w:tr>
    </w:tbl>
    <w:p w14:paraId="16755E1A" w14:textId="77777777" w:rsidR="008560DA" w:rsidRDefault="008560DA">
      <w:pPr>
        <w:pStyle w:val="StandardWWWW"/>
        <w:rPr>
          <w:rFonts w:ascii="Calibri" w:hAnsi="Calibri" w:cs="Times New Roman"/>
          <w:bCs/>
          <w:color w:val="2E74B5"/>
          <w:sz w:val="24"/>
          <w:szCs w:val="24"/>
        </w:rPr>
      </w:pPr>
    </w:p>
    <w:tbl>
      <w:tblPr>
        <w:tblW w:w="9008" w:type="dxa"/>
        <w:tblInd w:w="-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5"/>
        <w:gridCol w:w="1071"/>
        <w:gridCol w:w="1023"/>
        <w:gridCol w:w="1135"/>
        <w:gridCol w:w="1126"/>
        <w:gridCol w:w="1478"/>
      </w:tblGrid>
      <w:tr w:rsidR="008560DA" w14:paraId="0469D67C" w14:textId="77777777">
        <w:tblPrEx>
          <w:tblCellMar>
            <w:top w:w="0" w:type="dxa"/>
            <w:bottom w:w="0" w:type="dxa"/>
          </w:tblCellMar>
        </w:tblPrEx>
        <w:trPr>
          <w:trHeight w:val="471"/>
          <w:tblHeader/>
        </w:trPr>
        <w:tc>
          <w:tcPr>
            <w:tcW w:w="9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7DA1F" w14:textId="77777777" w:rsidR="008560DA" w:rsidRDefault="00000000">
            <w:pPr>
              <w:pStyle w:val="TableContents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Realitetsbehandlede indberetninger (antal)</w:t>
            </w:r>
          </w:p>
          <w:p w14:paraId="5567A676" w14:textId="77777777" w:rsidR="008560DA" w:rsidRDefault="00000000">
            <w:pPr>
              <w:pStyle w:val="TableContents"/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Angiv antal realitetsbehandlede sager i matrix.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br/>
              <w:t>Det samlede antal svarer til realitetsbehandlede sager i perioden.</w:t>
            </w:r>
          </w:p>
        </w:tc>
      </w:tr>
      <w:tr w:rsidR="008560DA" w14:paraId="596658C0" w14:textId="77777777">
        <w:tblPrEx>
          <w:tblCellMar>
            <w:top w:w="0" w:type="dxa"/>
            <w:bottom w:w="0" w:type="dxa"/>
          </w:tblCellMar>
        </w:tblPrEx>
        <w:trPr>
          <w:trHeight w:val="993"/>
          <w:tblHeader/>
        </w:trPr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60FD0" w14:textId="77777777" w:rsidR="008560DA" w:rsidRDefault="00000000">
            <w:pPr>
              <w:pStyle w:val="TableContents"/>
              <w:snapToGrid w:val="0"/>
              <w:jc w:val="right"/>
              <w:textAlignment w:val="top"/>
            </w:pPr>
            <w:r>
              <w:rPr>
                <w:rFonts w:ascii="Calibri" w:hAnsi="Calibri"/>
                <w:sz w:val="24"/>
                <w:szCs w:val="24"/>
              </w:rPr>
              <w:t xml:space="preserve">Type </w:t>
            </w:r>
            <w:r>
              <w:rPr>
                <w:rFonts w:ascii="Calibri" w:hAnsi="Calibri"/>
                <w:sz w:val="24"/>
                <w:szCs w:val="24"/>
                <w:vertAlign w:val="superscript"/>
              </w:rPr>
              <w:t>3)</w:t>
            </w:r>
          </w:p>
          <w:p w14:paraId="5FA98450" w14:textId="77777777" w:rsidR="008560DA" w:rsidRDefault="00000000">
            <w:pPr>
              <w:pStyle w:val="TableContents"/>
              <w:snapToGrid w:val="0"/>
              <w:textAlignment w:val="bottom"/>
            </w:pPr>
            <w:r>
              <w:rPr>
                <w:rFonts w:ascii="Calibri" w:hAnsi="Calibri"/>
                <w:sz w:val="24"/>
                <w:szCs w:val="24"/>
              </w:rPr>
              <w:t xml:space="preserve">Tema </w:t>
            </w:r>
            <w:r>
              <w:rPr>
                <w:rFonts w:ascii="Calibri" w:hAnsi="Calibri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5E4AE" w14:textId="77777777" w:rsidR="008560DA" w:rsidRDefault="00000000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EU </w:t>
            </w:r>
            <w:r>
              <w:rPr>
                <w:rFonts w:ascii="Calibri" w:hAnsi="Calibri"/>
                <w:sz w:val="24"/>
                <w:szCs w:val="24"/>
              </w:rPr>
              <w:br/>
              <w:t>ret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2A51A" w14:textId="77777777" w:rsidR="008560DA" w:rsidRDefault="00000000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Straffe</w:t>
            </w:r>
            <w:r>
              <w:rPr>
                <w:rFonts w:ascii="Calibri" w:hAnsi="Calibri"/>
                <w:sz w:val="24"/>
                <w:szCs w:val="24"/>
              </w:rPr>
              <w:br/>
              <w:t>ret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4B1A3" w14:textId="77777777" w:rsidR="008560DA" w:rsidRDefault="00000000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Sær- og </w:t>
            </w:r>
            <w:r>
              <w:rPr>
                <w:rFonts w:ascii="Calibri" w:hAnsi="Calibri"/>
                <w:sz w:val="24"/>
                <w:szCs w:val="24"/>
              </w:rPr>
              <w:br/>
              <w:t>anden lov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F6FDC" w14:textId="77777777" w:rsidR="008560DA" w:rsidRDefault="00000000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Chikane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34D38" w14:textId="77777777" w:rsidR="008560DA" w:rsidRDefault="00000000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Øvrige </w:t>
            </w:r>
            <w:r>
              <w:rPr>
                <w:rFonts w:ascii="Calibri" w:hAnsi="Calibri"/>
                <w:sz w:val="24"/>
                <w:szCs w:val="24"/>
              </w:rPr>
              <w:br/>
              <w:t xml:space="preserve">alvorlige </w:t>
            </w:r>
            <w:r>
              <w:rPr>
                <w:rFonts w:ascii="Calibri" w:hAnsi="Calibri"/>
                <w:sz w:val="24"/>
                <w:szCs w:val="24"/>
              </w:rPr>
              <w:br/>
              <w:t>forhold</w:t>
            </w:r>
          </w:p>
        </w:tc>
      </w:tr>
      <w:tr w:rsidR="008560DA" w14:paraId="3448D2D0" w14:textId="77777777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79DCF" w14:textId="77777777" w:rsidR="008560DA" w:rsidRDefault="00000000">
            <w:pPr>
              <w:pStyle w:val="TableContents"/>
              <w:snapToGrid w:val="0"/>
              <w:textAlignment w:val="top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Sagsbehandling og forvaltning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DE2CC" w14:textId="77777777" w:rsidR="008560DA" w:rsidRDefault="008560DA">
            <w:pPr>
              <w:pStyle w:val="TableContents"/>
              <w:snapToGrid w:val="0"/>
              <w:jc w:val="center"/>
              <w:textAlignment w:val="top"/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2625B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42A61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AA59A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FE107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</w:tr>
      <w:tr w:rsidR="008560DA" w14:paraId="0E5FB6FA" w14:textId="77777777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C4668" w14:textId="77777777" w:rsidR="008560DA" w:rsidRDefault="00000000">
            <w:pPr>
              <w:pStyle w:val="TableContents"/>
              <w:snapToGrid w:val="0"/>
              <w:textAlignment w:val="top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Arbejdsmiljø og -kultur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6039B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54CDF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2A85B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17E62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A287B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</w:tr>
      <w:tr w:rsidR="008560DA" w14:paraId="56472B7D" w14:textId="77777777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B4275" w14:textId="77777777" w:rsidR="008560DA" w:rsidRDefault="00000000">
            <w:pPr>
              <w:pStyle w:val="TableContents"/>
              <w:snapToGrid w:val="0"/>
              <w:textAlignment w:val="top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Økonomi, bedrageri, tyveri, bestikkelse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1275F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02913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49544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F49F6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550BD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</w:tr>
      <w:tr w:rsidR="008560DA" w14:paraId="1A8D4E84" w14:textId="77777777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C4988" w14:textId="77777777" w:rsidR="008560DA" w:rsidRDefault="00000000">
            <w:pPr>
              <w:pStyle w:val="TableContents"/>
              <w:snapToGrid w:val="0"/>
              <w:textAlignment w:val="top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Diskrimination, krænkelse, chikane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DA832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A4C13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53A70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FA3BD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98DAF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</w:tr>
      <w:tr w:rsidR="008560DA" w14:paraId="06D31207" w14:textId="77777777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9CC8F" w14:textId="77777777" w:rsidR="008560DA" w:rsidRDefault="00000000">
            <w:pPr>
              <w:pStyle w:val="TableContents"/>
              <w:snapToGrid w:val="0"/>
              <w:textAlignment w:val="top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Data og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IT misbrug</w:t>
            </w:r>
            <w:proofErr w:type="gramEnd"/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9630A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94F5A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5E592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4DC84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CA2EC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</w:tr>
      <w:tr w:rsidR="008560DA" w14:paraId="228B0901" w14:textId="77777777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7454C" w14:textId="77777777" w:rsidR="008560DA" w:rsidRDefault="00000000">
            <w:pPr>
              <w:pStyle w:val="TableContents"/>
              <w:snapToGrid w:val="0"/>
              <w:textAlignment w:val="top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Habilitet, nepotisme, interessekonflikt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A5BA3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A4CB0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CD8ED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ABF89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2B086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</w:tr>
      <w:tr w:rsidR="008560DA" w14:paraId="4F63D8E5" w14:textId="77777777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53CCF" w14:textId="77777777" w:rsidR="008560DA" w:rsidRDefault="00000000">
            <w:pPr>
              <w:pStyle w:val="TableContents"/>
              <w:snapToGrid w:val="0"/>
              <w:textAlignment w:val="top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Aftale- eller overenskomstbrud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ABC0C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CF2F2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11EE7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B80D3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9F0B3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</w:tr>
      <w:tr w:rsidR="008560DA" w14:paraId="210B00B2" w14:textId="77777777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4A92D" w14:textId="77777777" w:rsidR="008560DA" w:rsidRDefault="00000000">
            <w:pPr>
              <w:pStyle w:val="TableContents"/>
              <w:snapToGrid w:val="0"/>
              <w:textAlignment w:val="top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Øvrige forhold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AF0FA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B6131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C5B63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A9C7D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231BD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</w:tr>
      <w:tr w:rsidR="008560DA" w14:paraId="6F6E2E90" w14:textId="77777777">
        <w:tblPrEx>
          <w:tblCellMar>
            <w:top w:w="0" w:type="dxa"/>
            <w:bottom w:w="0" w:type="dxa"/>
          </w:tblCellMar>
        </w:tblPrEx>
        <w:tc>
          <w:tcPr>
            <w:tcW w:w="753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668C2" w14:textId="77777777" w:rsidR="008560DA" w:rsidRDefault="00000000">
            <w:pPr>
              <w:pStyle w:val="TableContents"/>
              <w:snapToGrid w:val="0"/>
              <w:textAlignment w:val="top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Antal indberetninger af ovenstående der medførte politianmeldelse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DA7E0" w14:textId="77777777" w:rsidR="008560DA" w:rsidRDefault="008560DA">
            <w:pPr>
              <w:pStyle w:val="TableContents"/>
              <w:snapToGrid w:val="0"/>
              <w:jc w:val="center"/>
              <w:textAlignment w:val="top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0FD439E" w14:textId="77777777" w:rsidR="008560DA" w:rsidRDefault="008560DA">
      <w:pPr>
        <w:pStyle w:val="TextbodyWWWW"/>
      </w:pPr>
    </w:p>
    <w:tbl>
      <w:tblPr>
        <w:tblW w:w="9083" w:type="dxa"/>
        <w:tblInd w:w="-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3"/>
        <w:gridCol w:w="1940"/>
      </w:tblGrid>
      <w:tr w:rsidR="008560DA" w14:paraId="46FF4749" w14:textId="77777777">
        <w:tblPrEx>
          <w:tblCellMar>
            <w:top w:w="0" w:type="dxa"/>
            <w:bottom w:w="0" w:type="dxa"/>
          </w:tblCellMar>
        </w:tblPrEx>
        <w:trPr>
          <w:trHeight w:val="471"/>
          <w:tblHeader/>
        </w:trPr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80799" w14:textId="77777777" w:rsidR="008560DA" w:rsidRDefault="00000000">
            <w:pPr>
              <w:pStyle w:val="TableContents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Afviste indberetninger (antal)</w:t>
            </w:r>
          </w:p>
          <w:p w14:paraId="17E85486" w14:textId="77777777" w:rsidR="008560DA" w:rsidRDefault="00000000">
            <w:pPr>
              <w:pStyle w:val="TableContents"/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Angiv detaljer for afviste sager i tabellen herunder.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br/>
              <w:t xml:space="preserve"> Det samlede antal svarer til afviste sager i perioden.</w:t>
            </w:r>
          </w:p>
        </w:tc>
      </w:tr>
      <w:tr w:rsidR="008560DA" w14:paraId="7B409B33" w14:textId="77777777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E949C" w14:textId="77777777" w:rsidR="008560DA" w:rsidRDefault="00000000">
            <w:pPr>
              <w:pStyle w:val="TableContent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Sager oprettet ved en fejl, eller spam: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7FD64" w14:textId="77777777" w:rsidR="008560DA" w:rsidRDefault="008560DA">
            <w:pPr>
              <w:pStyle w:val="TableContents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560DA" w14:paraId="392AEDEE" w14:textId="77777777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EE45E" w14:textId="77777777" w:rsidR="008560DA" w:rsidRDefault="00000000">
            <w:pPr>
              <w:pStyle w:val="TableContents"/>
            </w:pPr>
            <w:r>
              <w:rPr>
                <w:rFonts w:ascii="Calibri" w:hAnsi="Calibri"/>
                <w:sz w:val="24"/>
                <w:szCs w:val="24"/>
              </w:rPr>
              <w:t xml:space="preserve">Sager der ikke er omfattet af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whistleblower loven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(EU-, straffe- eller særlov, chikane eller øvrige alvorlige forhold), eller som er umiddelbar grundløse: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BD945" w14:textId="77777777" w:rsidR="008560DA" w:rsidRDefault="008560DA">
            <w:pPr>
              <w:pStyle w:val="TableContents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560DA" w14:paraId="2F75583F" w14:textId="77777777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69056" w14:textId="77777777" w:rsidR="008560DA" w:rsidRDefault="00000000">
            <w:pPr>
              <w:pStyle w:val="TableContent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Sager hvor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indberetter ikke er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omfattet af whistleblower loven: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C1B05" w14:textId="77777777" w:rsidR="008560DA" w:rsidRDefault="008560DA">
            <w:pPr>
              <w:pStyle w:val="TableContents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560DA" w14:paraId="4D6AEA7A" w14:textId="77777777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74307" w14:textId="77777777" w:rsidR="008560DA" w:rsidRDefault="00000000">
            <w:pPr>
              <w:pStyle w:val="TableContent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Sager om personlige/personaleretlige forhold, f.eks. ansættelsesmæssige klager eller sager hørende til det fagretslige </w:t>
            </w:r>
            <w:r>
              <w:rPr>
                <w:rFonts w:ascii="Calibri" w:hAnsi="Calibri"/>
                <w:sz w:val="24"/>
                <w:szCs w:val="24"/>
              </w:rPr>
              <w:lastRenderedPageBreak/>
              <w:t>system: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32AB9" w14:textId="77777777" w:rsidR="008560DA" w:rsidRDefault="008560DA">
            <w:pPr>
              <w:pStyle w:val="TableContents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560DA" w14:paraId="27DA5ED4" w14:textId="77777777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21A0C" w14:textId="77777777" w:rsidR="008560DA" w:rsidRDefault="00000000">
            <w:pPr>
              <w:pStyle w:val="TableContents"/>
            </w:pPr>
            <w:r>
              <w:rPr>
                <w:rFonts w:ascii="Calibri" w:hAnsi="Calibri"/>
                <w:sz w:val="24"/>
                <w:szCs w:val="24"/>
              </w:rPr>
              <w:t>Sager med ufuldstændigt grundlag for videre behandling, f.eks. grundet anonymitet, manglende samtykke fra indberetter, eller hvor indberetningen ikke kan uddybes tilstrækkeligt: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DFC06" w14:textId="77777777" w:rsidR="008560DA" w:rsidRDefault="008560DA">
            <w:pPr>
              <w:pStyle w:val="TableContents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560DA" w14:paraId="48C64298" w14:textId="77777777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4AD06" w14:textId="77777777" w:rsidR="008560DA" w:rsidRDefault="00000000">
            <w:pPr>
              <w:pStyle w:val="TableContents"/>
            </w:pPr>
            <w:r>
              <w:rPr>
                <w:rFonts w:ascii="Calibri" w:hAnsi="Calibri"/>
                <w:sz w:val="24"/>
                <w:szCs w:val="24"/>
              </w:rPr>
              <w:t>Sager der ville kompromittere en faglig tavshedspligt (sundhed, advokater, rådslagning og afstemning), eller klassificerede oplysninger (forsvar, sikkerhed):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EC05B" w14:textId="77777777" w:rsidR="008560DA" w:rsidRDefault="008560DA">
            <w:pPr>
              <w:pStyle w:val="TableContents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560DA" w14:paraId="15D9EB95" w14:textId="77777777">
        <w:tblPrEx>
          <w:tblCellMar>
            <w:top w:w="0" w:type="dxa"/>
            <w:bottom w:w="0" w:type="dxa"/>
          </w:tblCellMar>
        </w:tblPrEx>
        <w:tc>
          <w:tcPr>
            <w:tcW w:w="7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58B65" w14:textId="77777777" w:rsidR="008560DA" w:rsidRDefault="00000000">
            <w:pPr>
              <w:pStyle w:val="TableContent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Sager afvist af øvrige årsager: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19B26" w14:textId="77777777" w:rsidR="008560DA" w:rsidRDefault="008560DA">
            <w:pPr>
              <w:pStyle w:val="TableContents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42F6075" w14:textId="77777777" w:rsidR="008560DA" w:rsidRDefault="008560DA">
      <w:pPr>
        <w:pStyle w:val="StandardWWWW"/>
        <w:rPr>
          <w:rFonts w:ascii="Calibri" w:hAnsi="Calibri" w:cs="Times New Roman"/>
          <w:bCs/>
          <w:color w:val="2E74B5"/>
          <w:sz w:val="24"/>
          <w:szCs w:val="24"/>
        </w:rPr>
      </w:pPr>
    </w:p>
    <w:tbl>
      <w:tblPr>
        <w:tblW w:w="9073" w:type="dxa"/>
        <w:tblInd w:w="-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3"/>
        <w:gridCol w:w="2030"/>
      </w:tblGrid>
      <w:tr w:rsidR="008560DA" w14:paraId="1A92A401" w14:textId="77777777">
        <w:tblPrEx>
          <w:tblCellMar>
            <w:top w:w="0" w:type="dxa"/>
            <w:bottom w:w="0" w:type="dxa"/>
          </w:tblCellMar>
        </w:tblPrEx>
        <w:trPr>
          <w:trHeight w:val="471"/>
          <w:tblHeader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46497" w14:textId="77777777" w:rsidR="008560DA" w:rsidRDefault="00000000">
            <w:pPr>
              <w:pStyle w:val="TableContents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Sagsbehandling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1)</w:t>
            </w:r>
          </w:p>
          <w:p w14:paraId="3FE3A08A" w14:textId="77777777" w:rsidR="008560DA" w:rsidRDefault="00000000">
            <w:pPr>
              <w:pStyle w:val="TableContents"/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Indiker om alle tidsfrister er overholdt i perioden.</w:t>
            </w:r>
          </w:p>
        </w:tc>
      </w:tr>
      <w:tr w:rsidR="008560DA" w14:paraId="5DB370B7" w14:textId="77777777">
        <w:tblPrEx>
          <w:tblCellMar>
            <w:top w:w="0" w:type="dxa"/>
            <w:bottom w:w="0" w:type="dxa"/>
          </w:tblCellMar>
        </w:tblPrEx>
        <w:tc>
          <w:tcPr>
            <w:tcW w:w="7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A73FD" w14:textId="77777777" w:rsidR="008560DA" w:rsidRDefault="00000000">
            <w:pPr>
              <w:pStyle w:val="TableContent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Alle indberetninger er bekræftet indenfor 7 dage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0582C" w14:textId="77777777" w:rsidR="008560DA" w:rsidRDefault="00000000">
            <w:pPr>
              <w:pStyle w:val="TableContents"/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[ Ja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/ Nej ]</w:t>
            </w:r>
          </w:p>
        </w:tc>
      </w:tr>
      <w:tr w:rsidR="008560DA" w14:paraId="21B0F761" w14:textId="77777777">
        <w:tblPrEx>
          <w:tblCellMar>
            <w:top w:w="0" w:type="dxa"/>
            <w:bottom w:w="0" w:type="dxa"/>
          </w:tblCellMar>
        </w:tblPrEx>
        <w:tc>
          <w:tcPr>
            <w:tcW w:w="7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8096D" w14:textId="77777777" w:rsidR="008560DA" w:rsidRDefault="00000000">
            <w:pPr>
              <w:pStyle w:val="TableContent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Alle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indberetere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modtog feedback indenfor 3 måneder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E787C" w14:textId="77777777" w:rsidR="008560DA" w:rsidRDefault="00000000">
            <w:pPr>
              <w:pStyle w:val="TableContents"/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[ Ja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/ Nej ]</w:t>
            </w:r>
          </w:p>
        </w:tc>
      </w:tr>
    </w:tbl>
    <w:p w14:paraId="1D0EFEE9" w14:textId="77777777" w:rsidR="008560DA" w:rsidRDefault="008560DA">
      <w:pPr>
        <w:pStyle w:val="StandardWWWW"/>
        <w:rPr>
          <w:rFonts w:ascii="Calibri" w:hAnsi="Calibri"/>
          <w:sz w:val="24"/>
          <w:szCs w:val="24"/>
        </w:rPr>
      </w:pPr>
    </w:p>
    <w:p w14:paraId="6355ECBC" w14:textId="77777777" w:rsidR="008560DA" w:rsidRDefault="008560DA">
      <w:pPr>
        <w:pStyle w:val="StandardWWWW"/>
        <w:rPr>
          <w:rFonts w:ascii="Calibri" w:hAnsi="Calibri"/>
          <w:sz w:val="24"/>
          <w:szCs w:val="24"/>
        </w:rPr>
      </w:pPr>
    </w:p>
    <w:p w14:paraId="7267DC0F" w14:textId="77777777" w:rsidR="008560DA" w:rsidRDefault="00000000">
      <w:pPr>
        <w:pStyle w:val="StandardWWWW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Lovgrundlag</w:t>
      </w:r>
    </w:p>
    <w:p w14:paraId="15721DA5" w14:textId="77777777" w:rsidR="008560DA" w:rsidRDefault="00000000">
      <w:pPr>
        <w:pStyle w:val="StandardWWWW"/>
      </w:pPr>
      <w:r>
        <w:rPr>
          <w:rFonts w:ascii="Calibri" w:hAnsi="Calibri"/>
          <w:sz w:val="24"/>
          <w:szCs w:val="24"/>
        </w:rPr>
        <w:t>Lov om beskyttelse af whistleblowere (</w:t>
      </w:r>
      <w:hyperlink r:id="rId7" w:history="1">
        <w:r>
          <w:rPr>
            <w:rFonts w:ascii="Calibri" w:hAnsi="Calibri"/>
            <w:sz w:val="24"/>
            <w:szCs w:val="24"/>
          </w:rPr>
          <w:t xml:space="preserve">LOV </w:t>
        </w:r>
        <w:proofErr w:type="spellStart"/>
        <w:r>
          <w:rPr>
            <w:rFonts w:ascii="Calibri" w:hAnsi="Calibri"/>
            <w:sz w:val="24"/>
            <w:szCs w:val="24"/>
          </w:rPr>
          <w:t>nr</w:t>
        </w:r>
        <w:proofErr w:type="spellEnd"/>
        <w:r>
          <w:rPr>
            <w:rFonts w:ascii="Calibri" w:hAnsi="Calibri"/>
            <w:sz w:val="24"/>
            <w:szCs w:val="24"/>
          </w:rPr>
          <w:t xml:space="preserve"> 1436 af 29/06/2021</w:t>
        </w:r>
      </w:hyperlink>
      <w:r>
        <w:rPr>
          <w:rFonts w:ascii="Calibri" w:hAnsi="Calibri"/>
          <w:sz w:val="24"/>
          <w:szCs w:val="24"/>
        </w:rPr>
        <w:t>)</w:t>
      </w:r>
    </w:p>
    <w:p w14:paraId="55E7EF86" w14:textId="77777777" w:rsidR="008560DA" w:rsidRDefault="00000000">
      <w:pPr>
        <w:pStyle w:val="StandardWWWW"/>
      </w:pPr>
      <w:r>
        <w:rPr>
          <w:rFonts w:ascii="Calibri" w:hAnsi="Calibri"/>
          <w:sz w:val="24"/>
          <w:szCs w:val="24"/>
        </w:rPr>
        <w:t>Vejledning for whistleblowere (</w:t>
      </w:r>
      <w:hyperlink r:id="rId8" w:history="1">
        <w:r>
          <w:rPr>
            <w:rFonts w:ascii="Calibri" w:hAnsi="Calibri"/>
            <w:sz w:val="24"/>
            <w:szCs w:val="24"/>
          </w:rPr>
          <w:t xml:space="preserve">VEJ </w:t>
        </w:r>
        <w:proofErr w:type="spellStart"/>
        <w:r>
          <w:rPr>
            <w:rFonts w:ascii="Calibri" w:hAnsi="Calibri"/>
            <w:sz w:val="24"/>
            <w:szCs w:val="24"/>
          </w:rPr>
          <w:t>nr</w:t>
        </w:r>
        <w:proofErr w:type="spellEnd"/>
        <w:r>
          <w:rPr>
            <w:rFonts w:ascii="Calibri" w:hAnsi="Calibri"/>
            <w:sz w:val="24"/>
            <w:szCs w:val="24"/>
          </w:rPr>
          <w:t xml:space="preserve"> 9248 af 16/12/2021</w:t>
        </w:r>
      </w:hyperlink>
      <w:r>
        <w:rPr>
          <w:rFonts w:ascii="Calibri" w:hAnsi="Calibri"/>
          <w:sz w:val="24"/>
          <w:szCs w:val="24"/>
        </w:rPr>
        <w:t>)</w:t>
      </w:r>
    </w:p>
    <w:p w14:paraId="3DDCC471" w14:textId="77777777" w:rsidR="008560DA" w:rsidRDefault="00000000">
      <w:pPr>
        <w:pStyle w:val="StandardWWWW"/>
      </w:pPr>
      <w:r>
        <w:rPr>
          <w:rFonts w:ascii="Calibri" w:hAnsi="Calibri"/>
          <w:sz w:val="24"/>
          <w:szCs w:val="24"/>
        </w:rPr>
        <w:t>Vejledning for whistleblowerordninger på offentlige arbejdspladser (</w:t>
      </w:r>
      <w:hyperlink r:id="rId9" w:history="1">
        <w:r>
          <w:rPr>
            <w:rFonts w:ascii="Calibri" w:hAnsi="Calibri"/>
            <w:sz w:val="24"/>
            <w:szCs w:val="24"/>
          </w:rPr>
          <w:t xml:space="preserve">VEJ </w:t>
        </w:r>
        <w:proofErr w:type="spellStart"/>
        <w:r>
          <w:rPr>
            <w:rFonts w:ascii="Calibri" w:hAnsi="Calibri"/>
            <w:sz w:val="24"/>
            <w:szCs w:val="24"/>
          </w:rPr>
          <w:t>nr</w:t>
        </w:r>
        <w:proofErr w:type="spellEnd"/>
        <w:r>
          <w:rPr>
            <w:rFonts w:ascii="Calibri" w:hAnsi="Calibri"/>
            <w:sz w:val="24"/>
            <w:szCs w:val="24"/>
          </w:rPr>
          <w:t xml:space="preserve"> 9249 af 16/12/2021</w:t>
        </w:r>
      </w:hyperlink>
      <w:r>
        <w:rPr>
          <w:rFonts w:ascii="Calibri" w:hAnsi="Calibri"/>
          <w:sz w:val="24"/>
          <w:szCs w:val="24"/>
        </w:rPr>
        <w:t>)</w:t>
      </w:r>
    </w:p>
    <w:p w14:paraId="5968F7F1" w14:textId="77777777" w:rsidR="008560DA" w:rsidRDefault="00000000">
      <w:pPr>
        <w:pStyle w:val="StandardWWWW"/>
      </w:pPr>
      <w:r>
        <w:rPr>
          <w:rFonts w:ascii="Calibri" w:hAnsi="Calibri"/>
          <w:sz w:val="24"/>
          <w:szCs w:val="24"/>
        </w:rPr>
        <w:t>Vejledning af whistleblowerordninger på private arbejdspladser (</w:t>
      </w:r>
      <w:hyperlink r:id="rId10" w:history="1">
        <w:r>
          <w:rPr>
            <w:rFonts w:ascii="Calibri" w:hAnsi="Calibri"/>
            <w:sz w:val="24"/>
            <w:szCs w:val="24"/>
          </w:rPr>
          <w:t xml:space="preserve">VEJ </w:t>
        </w:r>
        <w:proofErr w:type="spellStart"/>
        <w:r>
          <w:rPr>
            <w:rFonts w:ascii="Calibri" w:hAnsi="Calibri"/>
            <w:sz w:val="24"/>
            <w:szCs w:val="24"/>
          </w:rPr>
          <w:t>nr</w:t>
        </w:r>
        <w:proofErr w:type="spellEnd"/>
        <w:r>
          <w:rPr>
            <w:rFonts w:ascii="Calibri" w:hAnsi="Calibri"/>
            <w:sz w:val="24"/>
            <w:szCs w:val="24"/>
          </w:rPr>
          <w:t xml:space="preserve"> 9250 af 16/12/2021</w:t>
        </w:r>
      </w:hyperlink>
      <w:r>
        <w:rPr>
          <w:rFonts w:ascii="Calibri" w:hAnsi="Calibri"/>
          <w:sz w:val="24"/>
          <w:szCs w:val="24"/>
        </w:rPr>
        <w:t>)</w:t>
      </w:r>
    </w:p>
    <w:p w14:paraId="2AFCD109" w14:textId="77777777" w:rsidR="008560DA" w:rsidRDefault="008560DA">
      <w:pPr>
        <w:pStyle w:val="StandardWWWW"/>
      </w:pPr>
    </w:p>
    <w:p w14:paraId="3FEC231B" w14:textId="77777777" w:rsidR="008560DA" w:rsidRDefault="00000000">
      <w:pPr>
        <w:pStyle w:val="StandardWWWW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(Udgivet af </w:t>
      </w:r>
      <w:proofErr w:type="spellStart"/>
      <w:r>
        <w:rPr>
          <w:rFonts w:ascii="Calibri" w:hAnsi="Calibri"/>
          <w:sz w:val="16"/>
          <w:szCs w:val="16"/>
        </w:rPr>
        <w:t>Transpareny</w:t>
      </w:r>
      <w:proofErr w:type="spellEnd"/>
      <w:r>
        <w:rPr>
          <w:rFonts w:ascii="Calibri" w:hAnsi="Calibri"/>
          <w:sz w:val="16"/>
          <w:szCs w:val="16"/>
        </w:rPr>
        <w:t xml:space="preserve"> International </w:t>
      </w:r>
      <w:proofErr w:type="gramStart"/>
      <w:r>
        <w:rPr>
          <w:rFonts w:ascii="Calibri" w:hAnsi="Calibri"/>
          <w:sz w:val="16"/>
          <w:szCs w:val="16"/>
        </w:rPr>
        <w:t>Danmark,  december</w:t>
      </w:r>
      <w:proofErr w:type="gramEnd"/>
      <w:r>
        <w:rPr>
          <w:rFonts w:ascii="Calibri" w:hAnsi="Calibri"/>
          <w:sz w:val="16"/>
          <w:szCs w:val="16"/>
        </w:rPr>
        <w:t xml:space="preserve"> 2023, V1.1)</w:t>
      </w:r>
    </w:p>
    <w:sectPr w:rsidR="008560DA">
      <w:headerReference w:type="default" r:id="rId11"/>
      <w:pgSz w:w="11906" w:h="16838"/>
      <w:pgMar w:top="1440" w:right="1440" w:bottom="1440" w:left="144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C483" w14:textId="77777777" w:rsidR="009E5F5F" w:rsidRDefault="009E5F5F">
      <w:r>
        <w:separator/>
      </w:r>
    </w:p>
  </w:endnote>
  <w:endnote w:type="continuationSeparator" w:id="0">
    <w:p w14:paraId="50BFDF99" w14:textId="77777777" w:rsidR="009E5F5F" w:rsidRDefault="009E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1CEC" w14:textId="77777777" w:rsidR="009E5F5F" w:rsidRDefault="009E5F5F">
      <w:r>
        <w:rPr>
          <w:color w:val="000000"/>
        </w:rPr>
        <w:separator/>
      </w:r>
    </w:p>
  </w:footnote>
  <w:footnote w:type="continuationSeparator" w:id="0">
    <w:p w14:paraId="4820A253" w14:textId="77777777" w:rsidR="009E5F5F" w:rsidRDefault="009E5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F290" w14:textId="77777777" w:rsidR="00000000" w:rsidRDefault="0000000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07F8"/>
    <w:multiLevelType w:val="multilevel"/>
    <w:tmpl w:val="ADDA04C6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0006590"/>
    <w:multiLevelType w:val="multilevel"/>
    <w:tmpl w:val="063098D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F294CBE"/>
    <w:multiLevelType w:val="multilevel"/>
    <w:tmpl w:val="A64C2202"/>
    <w:styleLink w:val="WWNum1a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50A35112"/>
    <w:multiLevelType w:val="multilevel"/>
    <w:tmpl w:val="DD664C10"/>
    <w:styleLink w:val="WW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53175D46"/>
    <w:multiLevelType w:val="multilevel"/>
    <w:tmpl w:val="215C3FC0"/>
    <w:styleLink w:val="NoListWWWW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5A71D06"/>
    <w:multiLevelType w:val="multilevel"/>
    <w:tmpl w:val="400A4E58"/>
    <w:styleLink w:val="NoListWWWWWW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59A05D9"/>
    <w:multiLevelType w:val="multilevel"/>
    <w:tmpl w:val="1624A5D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92210116">
    <w:abstractNumId w:val="0"/>
  </w:num>
  <w:num w:numId="2" w16cid:durableId="2045787869">
    <w:abstractNumId w:val="4"/>
  </w:num>
  <w:num w:numId="3" w16cid:durableId="1910729243">
    <w:abstractNumId w:val="5"/>
  </w:num>
  <w:num w:numId="4" w16cid:durableId="1123887795">
    <w:abstractNumId w:val="6"/>
  </w:num>
  <w:num w:numId="5" w16cid:durableId="84308629">
    <w:abstractNumId w:val="2"/>
  </w:num>
  <w:num w:numId="6" w16cid:durableId="1073819802">
    <w:abstractNumId w:val="1"/>
  </w:num>
  <w:num w:numId="7" w16cid:durableId="1027605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560DA"/>
    <w:rsid w:val="008560DA"/>
    <w:rsid w:val="009E5F5F"/>
    <w:rsid w:val="00D8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24850"/>
  <w15:docId w15:val="{C4DB7B39-94F8-B346-A561-8C318A5C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da-DK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WWWW"/>
    <w:next w:val="StandardWWWW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WWWW"/>
    <w:next w:val="TextbodyWWWW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WWWW"/>
    <w:rPr>
      <w:rFonts w:cs="Lucida Sans"/>
    </w:rPr>
  </w:style>
  <w:style w:type="paragraph" w:styleId="Caption">
    <w:name w:val="caption"/>
    <w:basedOn w:val="StandardWWWW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WWWW"/>
    <w:pPr>
      <w:suppressLineNumbers/>
    </w:pPr>
    <w:rPr>
      <w:rFonts w:cs="Lucida Sans"/>
    </w:rPr>
  </w:style>
  <w:style w:type="paragraph" w:customStyle="1" w:styleId="StandardWW">
    <w:name w:val="Standard (WW)"/>
  </w:style>
  <w:style w:type="paragraph" w:customStyle="1" w:styleId="TextbodyWW">
    <w:name w:val="Text body (WW)"/>
    <w:basedOn w:val="StandardWW"/>
    <w:pPr>
      <w:spacing w:after="140" w:line="276" w:lineRule="auto"/>
    </w:pPr>
  </w:style>
  <w:style w:type="paragraph" w:customStyle="1" w:styleId="StandardWWWW">
    <w:name w:val="Standard (WW) (WW)"/>
    <w:pPr>
      <w:widowControl/>
      <w:spacing w:after="160" w:line="259" w:lineRule="auto"/>
    </w:pPr>
    <w:rPr>
      <w:rFonts w:ascii="Garamond" w:eastAsia="Garamond" w:hAnsi="Garamond" w:cs="Garamond"/>
      <w:sz w:val="26"/>
    </w:rPr>
  </w:style>
  <w:style w:type="paragraph" w:customStyle="1" w:styleId="TextbodyWWWW">
    <w:name w:val="Text body (WW) (WW)"/>
    <w:basedOn w:val="StandardWWWW"/>
    <w:pPr>
      <w:spacing w:after="140" w:line="276" w:lineRule="auto"/>
    </w:pPr>
  </w:style>
  <w:style w:type="paragraph" w:customStyle="1" w:styleId="HeaderandFooter">
    <w:name w:val="Header and Footer"/>
    <w:basedOn w:val="StandardWWWW"/>
  </w:style>
  <w:style w:type="paragraph" w:styleId="Header">
    <w:name w:val="header"/>
    <w:basedOn w:val="StandardWWWW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WWWW"/>
    <w:pPr>
      <w:tabs>
        <w:tab w:val="center" w:pos="4513"/>
        <w:tab w:val="right" w:pos="9026"/>
      </w:tabs>
      <w:spacing w:after="0" w:line="240" w:lineRule="auto"/>
    </w:pPr>
  </w:style>
  <w:style w:type="paragraph" w:styleId="Revision">
    <w:name w:val="Revision"/>
    <w:pPr>
      <w:widowControl/>
    </w:pPr>
  </w:style>
  <w:style w:type="paragraph" w:styleId="CommentText">
    <w:name w:val="annotation text"/>
    <w:basedOn w:val="StandardWWWW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WWWW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FootnoteWWWW">
    <w:name w:val="Footnote (WW) (WW)"/>
    <w:basedOn w:val="StandardWWWW"/>
    <w:pPr>
      <w:spacing w:after="0" w:line="240" w:lineRule="auto"/>
    </w:pPr>
    <w:rPr>
      <w:sz w:val="20"/>
      <w:szCs w:val="20"/>
    </w:rPr>
  </w:style>
  <w:style w:type="paragraph" w:customStyle="1" w:styleId="xmsonormal">
    <w:name w:val="x_msonormal"/>
    <w:basedOn w:val="StandardWWWW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msolistparagraph">
    <w:name w:val="x_msolistparagraph"/>
    <w:basedOn w:val="StandardWWWW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Paragraph">
    <w:name w:val="List Paragraph"/>
    <w:basedOn w:val="StandardWWWW"/>
    <w:pPr>
      <w:ind w:left="720"/>
      <w:contextualSpacing/>
    </w:pPr>
  </w:style>
  <w:style w:type="paragraph" w:customStyle="1" w:styleId="TableContents">
    <w:name w:val="Table Contents"/>
    <w:basedOn w:val="StandardWWWW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DefaultParagraphFontWW">
    <w:name w:val="Default Paragraph Font (WW)"/>
  </w:style>
  <w:style w:type="character" w:customStyle="1" w:styleId="DefaultParagraphFontWWWW">
    <w:name w:val="Default Paragraph Font (WW) (WW)"/>
  </w:style>
  <w:style w:type="character" w:customStyle="1" w:styleId="DefaultParagraphFontWWWWWW">
    <w:name w:val="Default Paragraph Font (WW) (WW) (WW)"/>
  </w:style>
  <w:style w:type="character" w:customStyle="1" w:styleId="HeaderChar">
    <w:name w:val="Header Char"/>
    <w:basedOn w:val="DefaultParagraphFontWWWWWW"/>
  </w:style>
  <w:style w:type="character" w:customStyle="1" w:styleId="FooterChar">
    <w:name w:val="Footer Char"/>
    <w:basedOn w:val="DefaultParagraphFontWWWWWW"/>
  </w:style>
  <w:style w:type="character" w:customStyle="1" w:styleId="InternetlinkWWWW">
    <w:name w:val="Internet link (WW) (WW)"/>
    <w:basedOn w:val="DefaultParagraphFontWWWWWW"/>
    <w:rPr>
      <w:color w:val="0563C1"/>
      <w:u w:val="single"/>
    </w:rPr>
  </w:style>
  <w:style w:type="character" w:styleId="CommentReference">
    <w:name w:val="annotation reference"/>
    <w:basedOn w:val="DefaultParagraphFontWWWWWW"/>
    <w:rPr>
      <w:sz w:val="16"/>
      <w:szCs w:val="16"/>
    </w:rPr>
  </w:style>
  <w:style w:type="character" w:customStyle="1" w:styleId="CommentTextChar">
    <w:name w:val="Comment Text Char"/>
    <w:basedOn w:val="DefaultParagraphFontWWWWWW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Heading1Char">
    <w:name w:val="Heading 1 Char"/>
    <w:basedOn w:val="DefaultParagraphFontWWWWWW"/>
    <w:rPr>
      <w:rFonts w:ascii="Calibri Light" w:eastAsia="Calibri" w:hAnsi="Calibri Light" w:cs="Tahoma"/>
      <w:color w:val="2E74B5"/>
      <w:sz w:val="32"/>
      <w:szCs w:val="32"/>
    </w:rPr>
  </w:style>
  <w:style w:type="character" w:customStyle="1" w:styleId="BalloonTextChar">
    <w:name w:val="Balloon Text Char"/>
    <w:basedOn w:val="DefaultParagraphFontWWWWWW"/>
    <w:rPr>
      <w:rFonts w:ascii="Segoe UI" w:eastAsia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WWWWWW"/>
    <w:rPr>
      <w:sz w:val="20"/>
      <w:szCs w:val="20"/>
    </w:rPr>
  </w:style>
  <w:style w:type="character" w:customStyle="1" w:styleId="FootnoteSymbolWWWW">
    <w:name w:val="Footnote Symbol (WW) (WW)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nenumberingWWWW">
    <w:name w:val="Line numbering (WW) (WW)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InternetlinkWW">
    <w:name w:val="Internet link (WW)"/>
    <w:rPr>
      <w:color w:val="000080"/>
      <w:u w:val="single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nenumbering">
    <w:name w:val="Line numbering"/>
  </w:style>
  <w:style w:type="numbering" w:customStyle="1" w:styleId="NoListWW">
    <w:name w:val="No List (WW)"/>
    <w:basedOn w:val="NoList"/>
    <w:pPr>
      <w:numPr>
        <w:numId w:val="1"/>
      </w:numPr>
    </w:pPr>
  </w:style>
  <w:style w:type="numbering" w:customStyle="1" w:styleId="NoListWWWW">
    <w:name w:val="No List (WW) (WW)"/>
    <w:basedOn w:val="NoList"/>
    <w:pPr>
      <w:numPr>
        <w:numId w:val="2"/>
      </w:numPr>
    </w:pPr>
  </w:style>
  <w:style w:type="numbering" w:customStyle="1" w:styleId="NoListWWWWWW">
    <w:name w:val="No List (WW) (WW) (WW)"/>
    <w:basedOn w:val="NoList"/>
    <w:pPr>
      <w:numPr>
        <w:numId w:val="3"/>
      </w:numPr>
    </w:pPr>
  </w:style>
  <w:style w:type="numbering" w:customStyle="1" w:styleId="WWNum1">
    <w:name w:val="WWNum1"/>
    <w:basedOn w:val="NoList"/>
    <w:pPr>
      <w:numPr>
        <w:numId w:val="4"/>
      </w:numPr>
    </w:pPr>
  </w:style>
  <w:style w:type="numbering" w:customStyle="1" w:styleId="WWNum1a">
    <w:name w:val="WWNum1a"/>
    <w:basedOn w:val="NoList"/>
    <w:pPr>
      <w:numPr>
        <w:numId w:val="5"/>
      </w:numPr>
    </w:pPr>
  </w:style>
  <w:style w:type="numbering" w:customStyle="1" w:styleId="WWNum2">
    <w:name w:val="WWNum2"/>
    <w:basedOn w:val="NoList"/>
    <w:pPr>
      <w:numPr>
        <w:numId w:val="6"/>
      </w:numPr>
    </w:pPr>
  </w:style>
  <w:style w:type="numbering" w:customStyle="1" w:styleId="WWNum3">
    <w:name w:val="WWNum3"/>
    <w:basedOn w:val="NoLis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retsinfo/2022/92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tsinformation.dk/eli/lta/2021/143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etsinformation.dk/eli/retsinfo/2022/9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tsinformation.dk/eli/retsinfo/2022/92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Wriedt</dc:creator>
  <cp:lastModifiedBy>Albert Martin Lysholm Bischoff</cp:lastModifiedBy>
  <cp:revision>2</cp:revision>
  <dcterms:created xsi:type="dcterms:W3CDTF">2023-12-11T07:03:00Z</dcterms:created>
  <dcterms:modified xsi:type="dcterms:W3CDTF">2023-12-11T07:03:00Z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EXDocumentID">
    <vt:lpwstr/>
  </property>
  <property fmtid="{D5CDD505-2E9C-101B-9397-08002B2CF9AE}" pid="4" name="OOXMLCorePropertyContentStatus">
    <vt:lpwstr>Final</vt:lpwstr>
  </property>
</Properties>
</file>